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47835" w14:textId="77777777" w:rsidR="00AC0074" w:rsidRPr="0010752E" w:rsidRDefault="00AC0074" w:rsidP="001C18E0">
      <w:pPr>
        <w:pStyle w:val="Paragraphedeliste"/>
        <w:spacing w:line="360" w:lineRule="auto"/>
        <w:ind w:left="3192" w:firstLine="348"/>
        <w:jc w:val="both"/>
        <w:rPr>
          <w:rFonts w:eastAsia="Calibri" w:cstheme="minorHAnsi"/>
        </w:rPr>
      </w:pPr>
      <w:r w:rsidRPr="0010752E">
        <w:rPr>
          <w:rFonts w:eastAsia="Calibri" w:cstheme="minorHAnsi"/>
        </w:rPr>
        <w:t xml:space="preserve">IFPEK Rennes </w:t>
      </w:r>
    </w:p>
    <w:p w14:paraId="59E4870F" w14:textId="1BCD35A5" w:rsidR="00AC0074" w:rsidRPr="0010752E" w:rsidRDefault="00AC0074" w:rsidP="003D6554">
      <w:pPr>
        <w:spacing w:after="200" w:line="360" w:lineRule="auto"/>
        <w:jc w:val="center"/>
        <w:rPr>
          <w:rFonts w:eastAsia="Calibri" w:cstheme="minorHAnsi"/>
        </w:rPr>
      </w:pPr>
      <w:r w:rsidRPr="0010752E">
        <w:rPr>
          <w:rFonts w:eastAsia="Calibri" w:cstheme="minorHAnsi"/>
        </w:rPr>
        <w:t>Institut de F</w:t>
      </w:r>
      <w:r w:rsidR="0022331A" w:rsidRPr="0010752E">
        <w:rPr>
          <w:rFonts w:eastAsia="Calibri" w:cstheme="minorHAnsi"/>
        </w:rPr>
        <w:t>ormation e</w:t>
      </w:r>
      <w:r w:rsidR="00A54A41" w:rsidRPr="0010752E">
        <w:rPr>
          <w:rFonts w:eastAsia="Calibri" w:cstheme="minorHAnsi"/>
        </w:rPr>
        <w:t xml:space="preserve">n </w:t>
      </w:r>
      <w:proofErr w:type="spellStart"/>
      <w:r w:rsidR="00601B45" w:rsidRPr="0010752E">
        <w:rPr>
          <w:rFonts w:eastAsia="Calibri" w:cstheme="minorHAnsi"/>
        </w:rPr>
        <w:t>masso</w:t>
      </w:r>
      <w:proofErr w:type="spellEnd"/>
      <w:r w:rsidR="00601B45" w:rsidRPr="0010752E">
        <w:rPr>
          <w:rFonts w:eastAsia="Calibri" w:cstheme="minorHAnsi"/>
        </w:rPr>
        <w:t>-kinésithérapie</w:t>
      </w:r>
    </w:p>
    <w:p w14:paraId="2F1E2364" w14:textId="77777777" w:rsidR="00AC0074" w:rsidRPr="00962C41" w:rsidRDefault="00AC0074" w:rsidP="003D6554">
      <w:pPr>
        <w:spacing w:line="360" w:lineRule="auto"/>
        <w:jc w:val="center"/>
        <w:rPr>
          <w:rFonts w:ascii="Times New Roman" w:hAnsi="Times New Roman" w:cs="Times New Roman"/>
        </w:rPr>
      </w:pPr>
    </w:p>
    <w:p w14:paraId="32407E1C" w14:textId="1B36E188" w:rsidR="00AC0074" w:rsidRPr="00962C41" w:rsidRDefault="00AC0074" w:rsidP="003D6554">
      <w:pPr>
        <w:spacing w:line="360" w:lineRule="auto"/>
        <w:jc w:val="center"/>
        <w:rPr>
          <w:rFonts w:ascii="Times New Roman" w:hAnsi="Times New Roman" w:cs="Times New Roman"/>
        </w:rPr>
      </w:pPr>
    </w:p>
    <w:p w14:paraId="2E6AC2A3" w14:textId="04D72FE3" w:rsidR="009B6F92" w:rsidRDefault="002F2D7A" w:rsidP="003D6554">
      <w:pPr>
        <w:spacing w:after="200" w:line="360" w:lineRule="auto"/>
        <w:jc w:val="center"/>
        <w:rPr>
          <w:rFonts w:ascii="Times New Roman" w:eastAsia="Calibri" w:hAnsi="Times New Roman" w:cs="Times New Roman"/>
          <w:sz w:val="56"/>
          <w:szCs w:val="56"/>
        </w:rPr>
      </w:pPr>
      <w:r>
        <w:rPr>
          <w:noProof/>
        </w:rPr>
        <w:drawing>
          <wp:inline distT="0" distB="0" distL="0" distR="0" wp14:anchorId="077D2DF7" wp14:editId="453AC0D0">
            <wp:extent cx="1905000" cy="1448908"/>
            <wp:effectExtent l="0" t="0" r="0" b="3175"/>
            <wp:docPr id="272840619" name="Image 1" descr="Une image contenant texte, Police, graphism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40619" name="Image 1" descr="Une image contenant texte, Police, graphisme, Graphiqu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1448908"/>
                    </a:xfrm>
                    <a:prstGeom prst="rect">
                      <a:avLst/>
                    </a:prstGeom>
                    <a:noFill/>
                    <a:ln>
                      <a:noFill/>
                    </a:ln>
                  </pic:spPr>
                </pic:pic>
              </a:graphicData>
            </a:graphic>
          </wp:inline>
        </w:drawing>
      </w:r>
    </w:p>
    <w:p w14:paraId="1BA9BFCA" w14:textId="77777777" w:rsidR="00601B45" w:rsidRPr="00962C41" w:rsidRDefault="00601B45" w:rsidP="003D6554">
      <w:pPr>
        <w:spacing w:after="200" w:line="360" w:lineRule="auto"/>
        <w:jc w:val="center"/>
        <w:rPr>
          <w:rFonts w:ascii="Times New Roman" w:eastAsia="Calibri" w:hAnsi="Times New Roman" w:cs="Times New Roman"/>
          <w:sz w:val="56"/>
          <w:szCs w:val="56"/>
        </w:rPr>
      </w:pPr>
    </w:p>
    <w:p w14:paraId="50B9B19E" w14:textId="6EA8DD1F" w:rsidR="00AC0074" w:rsidRPr="00544AF7" w:rsidRDefault="00601B45" w:rsidP="003D6554">
      <w:pPr>
        <w:spacing w:after="200" w:line="360" w:lineRule="auto"/>
        <w:jc w:val="center"/>
        <w:rPr>
          <w:rFonts w:eastAsia="Calibri" w:cstheme="minorHAnsi"/>
          <w:color w:val="A6A6A6"/>
          <w:sz w:val="56"/>
          <w:szCs w:val="56"/>
        </w:rPr>
      </w:pPr>
      <w:r w:rsidRPr="00544AF7">
        <w:rPr>
          <w:rFonts w:eastAsia="Calibri" w:cstheme="minorHAnsi"/>
          <w:sz w:val="56"/>
          <w:szCs w:val="56"/>
        </w:rPr>
        <w:t xml:space="preserve">Les </w:t>
      </w:r>
      <w:r w:rsidR="000A342F">
        <w:rPr>
          <w:rFonts w:eastAsia="Calibri" w:cstheme="minorHAnsi"/>
          <w:sz w:val="56"/>
          <w:szCs w:val="56"/>
        </w:rPr>
        <w:t>tests</w:t>
      </w:r>
      <w:r w:rsidRPr="00544AF7">
        <w:rPr>
          <w:rFonts w:eastAsia="Calibri" w:cstheme="minorHAnsi"/>
          <w:sz w:val="56"/>
          <w:szCs w:val="56"/>
        </w:rPr>
        <w:t xml:space="preserve"> utilisé</w:t>
      </w:r>
      <w:r w:rsidR="000A342F">
        <w:rPr>
          <w:rFonts w:eastAsia="Calibri" w:cstheme="minorHAnsi"/>
          <w:sz w:val="56"/>
          <w:szCs w:val="56"/>
        </w:rPr>
        <w:t>s</w:t>
      </w:r>
      <w:r w:rsidRPr="00544AF7">
        <w:rPr>
          <w:rFonts w:eastAsia="Calibri" w:cstheme="minorHAnsi"/>
          <w:sz w:val="56"/>
          <w:szCs w:val="56"/>
        </w:rPr>
        <w:t xml:space="preserve"> par les kinésithérapeutes français pour évaluer l’équilibre d’une personne âgée</w:t>
      </w:r>
    </w:p>
    <w:p w14:paraId="6DFD4163" w14:textId="2DD90EEA" w:rsidR="00AC0074" w:rsidRPr="00544AF7" w:rsidRDefault="002A6CC3" w:rsidP="003D6554">
      <w:pPr>
        <w:spacing w:after="0" w:line="360" w:lineRule="auto"/>
        <w:jc w:val="center"/>
        <w:rPr>
          <w:rFonts w:eastAsia="Calibri" w:cstheme="minorHAnsi"/>
          <w:sz w:val="28"/>
          <w:szCs w:val="28"/>
        </w:rPr>
      </w:pPr>
      <w:r>
        <w:rPr>
          <w:rFonts w:eastAsia="Calibri" w:cstheme="minorHAnsi"/>
          <w:sz w:val="28"/>
          <w:szCs w:val="28"/>
        </w:rPr>
        <w:t>Mémoire d’Initiation à la Recherche en Masso-Kinésithérapie (MIRMK)</w:t>
      </w:r>
    </w:p>
    <w:p w14:paraId="27C2672E" w14:textId="2964C420" w:rsidR="00885A10" w:rsidRPr="00544AF7" w:rsidRDefault="00601B45" w:rsidP="003D6554">
      <w:pPr>
        <w:spacing w:after="0" w:line="360" w:lineRule="auto"/>
        <w:jc w:val="center"/>
        <w:rPr>
          <w:rFonts w:eastAsia="Calibri" w:cstheme="minorHAnsi"/>
          <w:sz w:val="28"/>
          <w:szCs w:val="28"/>
        </w:rPr>
      </w:pPr>
      <w:r w:rsidRPr="00544AF7">
        <w:rPr>
          <w:rFonts w:eastAsia="Calibri" w:cstheme="minorHAnsi"/>
          <w:sz w:val="28"/>
          <w:szCs w:val="28"/>
        </w:rPr>
        <w:t>UE27</w:t>
      </w:r>
    </w:p>
    <w:p w14:paraId="67FD1F0F" w14:textId="77777777" w:rsidR="00AC0074" w:rsidRPr="00544AF7" w:rsidRDefault="00AC0074" w:rsidP="003D6554">
      <w:pPr>
        <w:spacing w:after="200" w:line="360" w:lineRule="auto"/>
        <w:jc w:val="center"/>
        <w:rPr>
          <w:rFonts w:cstheme="minorHAnsi"/>
        </w:rPr>
      </w:pPr>
    </w:p>
    <w:p w14:paraId="749D69FF" w14:textId="77777777" w:rsidR="00AC0074" w:rsidRPr="00544AF7" w:rsidRDefault="00AC0074" w:rsidP="003D6554">
      <w:pPr>
        <w:spacing w:after="200" w:line="360" w:lineRule="auto"/>
        <w:jc w:val="center"/>
        <w:rPr>
          <w:rFonts w:cstheme="minorHAnsi"/>
        </w:rPr>
      </w:pPr>
    </w:p>
    <w:p w14:paraId="55F85CE3" w14:textId="77777777" w:rsidR="00AC0074" w:rsidRPr="00544AF7" w:rsidRDefault="00AC0074" w:rsidP="003D6554">
      <w:pPr>
        <w:spacing w:line="360" w:lineRule="auto"/>
        <w:jc w:val="center"/>
        <w:rPr>
          <w:rFonts w:cstheme="minorHAnsi"/>
        </w:rPr>
      </w:pPr>
    </w:p>
    <w:p w14:paraId="3027F848" w14:textId="77777777" w:rsidR="00601B45" w:rsidRPr="00544AF7" w:rsidRDefault="00601B45" w:rsidP="003D6554">
      <w:pPr>
        <w:spacing w:line="360" w:lineRule="auto"/>
        <w:jc w:val="center"/>
        <w:rPr>
          <w:rFonts w:cstheme="minorHAnsi"/>
        </w:rPr>
      </w:pPr>
    </w:p>
    <w:p w14:paraId="5837BF12" w14:textId="4E25E0EE" w:rsidR="00AC0074" w:rsidRPr="00544AF7" w:rsidRDefault="00601B45" w:rsidP="003D6554">
      <w:pPr>
        <w:spacing w:after="200" w:line="360" w:lineRule="auto"/>
        <w:jc w:val="center"/>
        <w:rPr>
          <w:rFonts w:eastAsia="Calibri" w:cstheme="minorHAnsi"/>
          <w:color w:val="A6A6A6"/>
        </w:rPr>
      </w:pPr>
      <w:r w:rsidRPr="00544AF7">
        <w:rPr>
          <w:rFonts w:eastAsia="Calibri" w:cstheme="minorHAnsi"/>
        </w:rPr>
        <w:t>Titouan LE BRETON</w:t>
      </w:r>
    </w:p>
    <w:p w14:paraId="01683034" w14:textId="538F7189" w:rsidR="007A58D9" w:rsidRDefault="009C3212" w:rsidP="007A58D9">
      <w:pPr>
        <w:spacing w:after="200" w:line="360" w:lineRule="auto"/>
        <w:jc w:val="center"/>
        <w:rPr>
          <w:rFonts w:eastAsia="Calibri" w:cstheme="minorHAnsi"/>
        </w:rPr>
      </w:pPr>
      <w:r>
        <w:rPr>
          <w:rFonts w:eastAsia="Calibri" w:cstheme="minorHAnsi"/>
        </w:rPr>
        <w:t>Février</w:t>
      </w:r>
      <w:r w:rsidR="00601B45" w:rsidRPr="00544AF7">
        <w:rPr>
          <w:rFonts w:eastAsia="Calibri" w:cstheme="minorHAnsi"/>
        </w:rPr>
        <w:t xml:space="preserve"> 202</w:t>
      </w:r>
      <w:bookmarkStart w:id="0" w:name="_Toc463946572"/>
      <w:r w:rsidR="007A58D9">
        <w:rPr>
          <w:rFonts w:eastAsia="Calibri" w:cstheme="minorHAnsi"/>
        </w:rPr>
        <w:t>6</w:t>
      </w:r>
    </w:p>
    <w:p w14:paraId="1FFEDBB2" w14:textId="18DE4315" w:rsidR="007A58D9" w:rsidRDefault="007A58D9" w:rsidP="008713FA">
      <w:pPr>
        <w:spacing w:after="200" w:line="360" w:lineRule="auto"/>
        <w:jc w:val="center"/>
        <w:rPr>
          <w:rFonts w:eastAsia="Calibri" w:cstheme="minorHAnsi"/>
        </w:rPr>
      </w:pPr>
      <w:r>
        <w:rPr>
          <w:rFonts w:eastAsia="Calibri" w:cstheme="minorHAnsi"/>
          <w:b/>
          <w:bCs/>
          <w:noProof/>
          <w:sz w:val="28"/>
          <w:szCs w:val="28"/>
        </w:rPr>
        <w:lastRenderedPageBreak/>
        <w:drawing>
          <wp:inline distT="0" distB="0" distL="0" distR="0" wp14:anchorId="21C030B5" wp14:editId="795AAC1D">
            <wp:extent cx="5759450" cy="8164508"/>
            <wp:effectExtent l="0" t="0" r="0" b="1905"/>
            <wp:docPr id="1100649199" name="Image 21" descr="Une image contenant texte, capture d’écran, document,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49199" name="Image 21" descr="Une image contenant texte, capture d’écran, document, lettre&#10;&#10;Le contenu généré par l’IA peut être incorrect."/>
                    <pic:cNvPicPr/>
                  </pic:nvPicPr>
                  <pic:blipFill>
                    <a:blip r:embed="rId9">
                      <a:extLst>
                        <a:ext uri="{28A0092B-C50C-407E-A947-70E740481C1C}">
                          <a14:useLocalDpi xmlns:a14="http://schemas.microsoft.com/office/drawing/2010/main" val="0"/>
                        </a:ext>
                      </a:extLst>
                    </a:blip>
                    <a:stretch>
                      <a:fillRect/>
                    </a:stretch>
                  </pic:blipFill>
                  <pic:spPr>
                    <a:xfrm>
                      <a:off x="0" y="0"/>
                      <a:ext cx="5759450" cy="8164508"/>
                    </a:xfrm>
                    <a:prstGeom prst="rect">
                      <a:avLst/>
                    </a:prstGeom>
                  </pic:spPr>
                </pic:pic>
              </a:graphicData>
            </a:graphic>
          </wp:inline>
        </w:drawing>
      </w:r>
    </w:p>
    <w:p w14:paraId="11C9FBCA" w14:textId="1842D972" w:rsidR="007A58D9" w:rsidRDefault="007A58D9">
      <w:pPr>
        <w:rPr>
          <w:rFonts w:eastAsia="Calibri" w:cstheme="minorHAnsi"/>
          <w:b/>
          <w:bCs/>
          <w:sz w:val="28"/>
          <w:szCs w:val="28"/>
        </w:rPr>
      </w:pPr>
      <w:r>
        <w:rPr>
          <w:rFonts w:eastAsia="Calibri" w:cstheme="minorHAnsi"/>
          <w:b/>
          <w:bCs/>
          <w:sz w:val="28"/>
          <w:szCs w:val="28"/>
        </w:rPr>
        <w:br w:type="page"/>
      </w:r>
    </w:p>
    <w:p w14:paraId="579CA4DB" w14:textId="009B48A2" w:rsidR="007A58D9" w:rsidRDefault="007A58D9">
      <w:pPr>
        <w:rPr>
          <w:rFonts w:eastAsia="Calibri" w:cstheme="minorHAnsi"/>
          <w:b/>
          <w:bCs/>
          <w:sz w:val="28"/>
          <w:szCs w:val="28"/>
        </w:rPr>
      </w:pPr>
      <w:r>
        <w:rPr>
          <w:rFonts w:eastAsia="Calibri" w:cstheme="minorHAnsi"/>
          <w:b/>
          <w:bCs/>
          <w:noProof/>
          <w:sz w:val="28"/>
          <w:szCs w:val="28"/>
        </w:rPr>
        <w:lastRenderedPageBreak/>
        <w:drawing>
          <wp:inline distT="0" distB="0" distL="0" distR="0" wp14:anchorId="603E2B2B" wp14:editId="662887FC">
            <wp:extent cx="6225957" cy="8825346"/>
            <wp:effectExtent l="0" t="0" r="0" b="1270"/>
            <wp:docPr id="320066589" name="Image 22" descr="Une image contenant texte, lettre, document,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66589" name="Image 22" descr="Une image contenant texte, lettre, document, capture d’écran&#10;&#10;Le contenu généré par l’IA peut être incorrect."/>
                    <pic:cNvPicPr/>
                  </pic:nvPicPr>
                  <pic:blipFill>
                    <a:blip r:embed="rId10">
                      <a:extLst>
                        <a:ext uri="{28A0092B-C50C-407E-A947-70E740481C1C}">
                          <a14:useLocalDpi xmlns:a14="http://schemas.microsoft.com/office/drawing/2010/main" val="0"/>
                        </a:ext>
                      </a:extLst>
                    </a:blip>
                    <a:stretch>
                      <a:fillRect/>
                    </a:stretch>
                  </pic:blipFill>
                  <pic:spPr>
                    <a:xfrm>
                      <a:off x="0" y="0"/>
                      <a:ext cx="6256273" cy="8868319"/>
                    </a:xfrm>
                    <a:prstGeom prst="rect">
                      <a:avLst/>
                    </a:prstGeom>
                  </pic:spPr>
                </pic:pic>
              </a:graphicData>
            </a:graphic>
          </wp:inline>
        </w:drawing>
      </w:r>
      <w:r>
        <w:rPr>
          <w:rFonts w:eastAsia="Calibri" w:cstheme="minorHAnsi"/>
          <w:b/>
          <w:bCs/>
          <w:sz w:val="28"/>
          <w:szCs w:val="28"/>
        </w:rPr>
        <w:br w:type="page"/>
      </w:r>
    </w:p>
    <w:tbl>
      <w:tblPr>
        <w:tblStyle w:val="Grilledutableau"/>
        <w:tblpPr w:leftFromText="141" w:rightFromText="141" w:vertAnchor="text" w:horzAnchor="margin" w:tblpY="-649"/>
        <w:tblW w:w="0" w:type="auto"/>
        <w:tblLook w:val="04A0" w:firstRow="1" w:lastRow="0" w:firstColumn="1" w:lastColumn="0" w:noHBand="0" w:noVBand="1"/>
      </w:tblPr>
      <w:tblGrid>
        <w:gridCol w:w="9060"/>
      </w:tblGrid>
      <w:tr w:rsidR="007F1BD7" w14:paraId="33C48054" w14:textId="77777777" w:rsidTr="007F1BD7">
        <w:tc>
          <w:tcPr>
            <w:tcW w:w="9060" w:type="dxa"/>
          </w:tcPr>
          <w:p w14:paraId="5004819A" w14:textId="77777777" w:rsidR="007F1BD7" w:rsidRPr="007F1BD7" w:rsidRDefault="007F1BD7" w:rsidP="007F1BD7">
            <w:pPr>
              <w:jc w:val="both"/>
              <w:rPr>
                <w:rFonts w:eastAsia="Calibri" w:cstheme="minorHAnsi"/>
                <w:b/>
                <w:bCs/>
              </w:rPr>
            </w:pPr>
            <w:r w:rsidRPr="007F1BD7">
              <w:rPr>
                <w:rFonts w:eastAsia="Calibri" w:cstheme="minorHAnsi"/>
                <w:b/>
                <w:bCs/>
              </w:rPr>
              <w:lastRenderedPageBreak/>
              <w:t xml:space="preserve">NOM : LE BRETON </w:t>
            </w:r>
          </w:p>
          <w:p w14:paraId="57ECD56C" w14:textId="77777777" w:rsidR="007F1BD7" w:rsidRPr="007F1BD7" w:rsidRDefault="007F1BD7" w:rsidP="007F1BD7">
            <w:pPr>
              <w:jc w:val="both"/>
              <w:rPr>
                <w:rFonts w:eastAsia="Calibri" w:cstheme="minorHAnsi"/>
                <w:b/>
                <w:bCs/>
              </w:rPr>
            </w:pPr>
            <w:r w:rsidRPr="007F1BD7">
              <w:rPr>
                <w:rFonts w:eastAsia="Calibri" w:cstheme="minorHAnsi"/>
                <w:b/>
                <w:bCs/>
              </w:rPr>
              <w:t>Prénom : Titouan</w:t>
            </w:r>
          </w:p>
        </w:tc>
      </w:tr>
      <w:tr w:rsidR="007F1BD7" w14:paraId="7039B651" w14:textId="77777777" w:rsidTr="007F1BD7">
        <w:trPr>
          <w:trHeight w:val="783"/>
        </w:trPr>
        <w:tc>
          <w:tcPr>
            <w:tcW w:w="9060" w:type="dxa"/>
          </w:tcPr>
          <w:p w14:paraId="147BE62B" w14:textId="77777777" w:rsidR="007F1BD7" w:rsidRPr="007F1BD7" w:rsidRDefault="007F1BD7" w:rsidP="007F1BD7">
            <w:pPr>
              <w:spacing w:after="200"/>
              <w:contextualSpacing/>
              <w:jc w:val="both"/>
              <w:rPr>
                <w:rFonts w:eastAsia="Calibri" w:cstheme="minorHAnsi"/>
                <w:b/>
                <w:bCs/>
                <w:color w:val="A6A6A6"/>
              </w:rPr>
            </w:pPr>
            <w:r w:rsidRPr="007F1BD7">
              <w:rPr>
                <w:rFonts w:eastAsia="Calibri" w:cstheme="minorHAnsi"/>
                <w:b/>
                <w:bCs/>
              </w:rPr>
              <w:t>Titre : Les tests utilisés par les kinésithérapeutes français pour évaluer l’équilibre d’une personne     âgée</w:t>
            </w:r>
          </w:p>
        </w:tc>
      </w:tr>
      <w:tr w:rsidR="007F1BD7" w:rsidRPr="007F1BD7" w14:paraId="2ED669E1" w14:textId="77777777" w:rsidTr="007F1BD7">
        <w:tc>
          <w:tcPr>
            <w:tcW w:w="9060" w:type="dxa"/>
            <w:shd w:val="clear" w:color="auto" w:fill="9CC2E5" w:themeFill="accent1" w:themeFillTint="99"/>
          </w:tcPr>
          <w:p w14:paraId="71143231" w14:textId="77777777" w:rsidR="007F1BD7" w:rsidRPr="007F1BD7" w:rsidRDefault="007F1BD7" w:rsidP="007F1BD7">
            <w:pPr>
              <w:jc w:val="center"/>
              <w:rPr>
                <w:rFonts w:eastAsia="Calibri" w:cstheme="minorHAnsi"/>
                <w:b/>
                <w:bCs/>
              </w:rPr>
            </w:pPr>
            <w:r w:rsidRPr="007F1BD7">
              <w:rPr>
                <w:rFonts w:eastAsia="Calibri" w:cstheme="minorHAnsi"/>
                <w:b/>
                <w:bCs/>
              </w:rPr>
              <w:t>ABSTRACT</w:t>
            </w:r>
          </w:p>
        </w:tc>
      </w:tr>
      <w:tr w:rsidR="007F1BD7" w14:paraId="1E846568" w14:textId="77777777" w:rsidTr="007F1BD7">
        <w:tc>
          <w:tcPr>
            <w:tcW w:w="9060" w:type="dxa"/>
          </w:tcPr>
          <w:p w14:paraId="59A38260" w14:textId="77777777" w:rsidR="007F1BD7" w:rsidRDefault="007F1BD7" w:rsidP="007F1BD7">
            <w:pPr>
              <w:pStyle w:val="NormalWeb"/>
              <w:spacing w:line="276" w:lineRule="auto"/>
              <w:contextualSpacing/>
              <w:jc w:val="both"/>
              <w:rPr>
                <w:rFonts w:asciiTheme="minorHAnsi" w:hAnsiTheme="minorHAnsi" w:cstheme="minorHAnsi"/>
                <w:b/>
                <w:bCs/>
                <w:color w:val="000000"/>
                <w:sz w:val="22"/>
                <w:szCs w:val="22"/>
              </w:rPr>
            </w:pPr>
          </w:p>
          <w:p w14:paraId="72A89BC0" w14:textId="7839BA0D" w:rsidR="007F1BD7" w:rsidRDefault="007F1BD7" w:rsidP="007F1BD7">
            <w:pPr>
              <w:pStyle w:val="NormalWeb"/>
              <w:spacing w:line="276" w:lineRule="auto"/>
              <w:contextualSpacing/>
              <w:jc w:val="both"/>
              <w:rPr>
                <w:rFonts w:asciiTheme="minorHAnsi" w:hAnsiTheme="minorHAnsi" w:cstheme="minorHAnsi"/>
                <w:color w:val="000000"/>
                <w:sz w:val="22"/>
                <w:szCs w:val="22"/>
              </w:rPr>
            </w:pPr>
            <w:r w:rsidRPr="007A58D9">
              <w:rPr>
                <w:rFonts w:asciiTheme="minorHAnsi" w:hAnsiTheme="minorHAnsi" w:cstheme="minorHAnsi"/>
                <w:b/>
                <w:bCs/>
                <w:color w:val="000000"/>
                <w:sz w:val="22"/>
                <w:szCs w:val="22"/>
              </w:rPr>
              <w:t>Introduction :</w:t>
            </w:r>
            <w:r w:rsidRPr="007A58D9">
              <w:rPr>
                <w:rStyle w:val="apple-converted-space"/>
                <w:rFonts w:asciiTheme="minorHAnsi" w:hAnsiTheme="minorHAnsi" w:cstheme="minorHAnsi"/>
                <w:color w:val="000000"/>
                <w:sz w:val="22"/>
                <w:szCs w:val="22"/>
              </w:rPr>
              <w:t> </w:t>
            </w:r>
            <w:r w:rsidRPr="007A58D9">
              <w:rPr>
                <w:rFonts w:asciiTheme="minorHAnsi" w:hAnsiTheme="minorHAnsi" w:cstheme="minorHAnsi"/>
                <w:color w:val="000000"/>
                <w:sz w:val="22"/>
                <w:szCs w:val="22"/>
              </w:rPr>
              <w:t xml:space="preserve">In France, </w:t>
            </w:r>
            <w:proofErr w:type="spellStart"/>
            <w:r w:rsidRPr="007A58D9">
              <w:rPr>
                <w:rFonts w:asciiTheme="minorHAnsi" w:hAnsiTheme="minorHAnsi" w:cstheme="minorHAnsi"/>
                <w:color w:val="000000"/>
                <w:sz w:val="22"/>
                <w:szCs w:val="22"/>
              </w:rPr>
              <w:t>falls</w:t>
            </w:r>
            <w:proofErr w:type="spellEnd"/>
            <w:r w:rsidRPr="007A58D9">
              <w:rPr>
                <w:rFonts w:asciiTheme="minorHAnsi" w:hAnsiTheme="minorHAnsi" w:cstheme="minorHAnsi"/>
                <w:color w:val="000000"/>
                <w:sz w:val="22"/>
                <w:szCs w:val="22"/>
              </w:rPr>
              <w:t xml:space="preserve"> are the </w:t>
            </w:r>
            <w:proofErr w:type="spellStart"/>
            <w:r w:rsidRPr="007A58D9">
              <w:rPr>
                <w:rFonts w:asciiTheme="minorHAnsi" w:hAnsiTheme="minorHAnsi" w:cstheme="minorHAnsi"/>
                <w:color w:val="000000"/>
                <w:sz w:val="22"/>
                <w:szCs w:val="22"/>
              </w:rPr>
              <w:t>leading</w:t>
            </w:r>
            <w:proofErr w:type="spellEnd"/>
            <w:r w:rsidRPr="007A58D9">
              <w:rPr>
                <w:rFonts w:asciiTheme="minorHAnsi" w:hAnsiTheme="minorHAnsi" w:cstheme="minorHAnsi"/>
                <w:color w:val="000000"/>
                <w:sz w:val="22"/>
                <w:szCs w:val="22"/>
              </w:rPr>
              <w:t xml:space="preserve"> cause of trauma in the </w:t>
            </w:r>
            <w:proofErr w:type="spellStart"/>
            <w:r w:rsidRPr="007A58D9">
              <w:rPr>
                <w:rFonts w:asciiTheme="minorHAnsi" w:hAnsiTheme="minorHAnsi" w:cstheme="minorHAnsi"/>
                <w:color w:val="000000"/>
                <w:sz w:val="22"/>
                <w:szCs w:val="22"/>
              </w:rPr>
              <w:t>elderly</w:t>
            </w:r>
            <w:proofErr w:type="spellEnd"/>
            <w:r w:rsidRPr="007A58D9">
              <w:rPr>
                <w:rFonts w:asciiTheme="minorHAnsi" w:hAnsiTheme="minorHAnsi" w:cstheme="minorHAnsi"/>
                <w:color w:val="000000"/>
                <w:sz w:val="22"/>
                <w:szCs w:val="22"/>
              </w:rPr>
              <w:t xml:space="preserve">. Physical </w:t>
            </w:r>
            <w:proofErr w:type="spellStart"/>
            <w:r w:rsidRPr="007A58D9">
              <w:rPr>
                <w:rFonts w:asciiTheme="minorHAnsi" w:hAnsiTheme="minorHAnsi" w:cstheme="minorHAnsi"/>
                <w:color w:val="000000"/>
                <w:sz w:val="22"/>
                <w:szCs w:val="22"/>
              </w:rPr>
              <w:t>therapists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PTs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play</w:t>
            </w:r>
            <w:proofErr w:type="spellEnd"/>
            <w:r w:rsidRPr="007A58D9">
              <w:rPr>
                <w:rFonts w:asciiTheme="minorHAnsi" w:hAnsiTheme="minorHAnsi" w:cstheme="minorHAnsi"/>
                <w:color w:val="000000"/>
                <w:sz w:val="22"/>
                <w:szCs w:val="22"/>
              </w:rPr>
              <w:t xml:space="preserve"> a pivotal </w:t>
            </w:r>
            <w:proofErr w:type="spellStart"/>
            <w:r w:rsidRPr="007A58D9">
              <w:rPr>
                <w:rFonts w:asciiTheme="minorHAnsi" w:hAnsiTheme="minorHAnsi" w:cstheme="minorHAnsi"/>
                <w:color w:val="000000"/>
                <w:sz w:val="22"/>
                <w:szCs w:val="22"/>
              </w:rPr>
              <w:t>role</w:t>
            </w:r>
            <w:proofErr w:type="spellEnd"/>
            <w:r w:rsidRPr="007A58D9">
              <w:rPr>
                <w:rFonts w:asciiTheme="minorHAnsi" w:hAnsiTheme="minorHAnsi" w:cstheme="minorHAnsi"/>
                <w:color w:val="000000"/>
                <w:sz w:val="22"/>
                <w:szCs w:val="22"/>
              </w:rPr>
              <w:t xml:space="preserve"> in screening for </w:t>
            </w:r>
            <w:proofErr w:type="spellStart"/>
            <w:r w:rsidRPr="007A58D9">
              <w:rPr>
                <w:rFonts w:asciiTheme="minorHAnsi" w:hAnsiTheme="minorHAnsi" w:cstheme="minorHAnsi"/>
                <w:color w:val="000000"/>
                <w:sz w:val="22"/>
                <w:szCs w:val="22"/>
              </w:rPr>
              <w:t>fall</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risk</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through</w:t>
            </w:r>
            <w:proofErr w:type="spellEnd"/>
            <w:r w:rsidRPr="007A58D9">
              <w:rPr>
                <w:rFonts w:asciiTheme="minorHAnsi" w:hAnsiTheme="minorHAnsi" w:cstheme="minorHAnsi"/>
                <w:color w:val="000000"/>
                <w:sz w:val="22"/>
                <w:szCs w:val="22"/>
              </w:rPr>
              <w:t xml:space="preserve"> balance </w:t>
            </w:r>
            <w:proofErr w:type="spellStart"/>
            <w:r w:rsidRPr="007A58D9">
              <w:rPr>
                <w:rFonts w:asciiTheme="minorHAnsi" w:hAnsiTheme="minorHAnsi" w:cstheme="minorHAnsi"/>
                <w:color w:val="000000"/>
                <w:sz w:val="22"/>
                <w:szCs w:val="22"/>
              </w:rPr>
              <w:t>assessment</w:t>
            </w:r>
            <w:proofErr w:type="spellEnd"/>
            <w:r w:rsidRPr="007A58D9">
              <w:rPr>
                <w:rFonts w:asciiTheme="minorHAnsi" w:hAnsiTheme="minorHAnsi" w:cstheme="minorHAnsi"/>
                <w:color w:val="000000"/>
                <w:sz w:val="22"/>
                <w:szCs w:val="22"/>
              </w:rPr>
              <w:t xml:space="preserve">. This </w:t>
            </w:r>
            <w:proofErr w:type="spellStart"/>
            <w:r w:rsidRPr="007A58D9">
              <w:rPr>
                <w:rFonts w:asciiTheme="minorHAnsi" w:hAnsiTheme="minorHAnsi" w:cstheme="minorHAnsi"/>
                <w:color w:val="000000"/>
                <w:sz w:val="22"/>
                <w:szCs w:val="22"/>
              </w:rPr>
              <w:t>study</w:t>
            </w:r>
            <w:proofErr w:type="spellEnd"/>
            <w:r w:rsidRPr="007A58D9">
              <w:rPr>
                <w:rFonts w:asciiTheme="minorHAnsi" w:hAnsiTheme="minorHAnsi" w:cstheme="minorHAnsi"/>
                <w:color w:val="000000"/>
                <w:sz w:val="22"/>
                <w:szCs w:val="22"/>
              </w:rPr>
              <w:t xml:space="preserve"> identifies the </w:t>
            </w:r>
            <w:proofErr w:type="spellStart"/>
            <w:r w:rsidRPr="007A58D9">
              <w:rPr>
                <w:rFonts w:asciiTheme="minorHAnsi" w:hAnsiTheme="minorHAnsi" w:cstheme="minorHAnsi"/>
                <w:color w:val="000000"/>
                <w:sz w:val="22"/>
                <w:szCs w:val="22"/>
              </w:rPr>
              <w:t>preferred</w:t>
            </w:r>
            <w:proofErr w:type="spellEnd"/>
            <w:r w:rsidRPr="007A58D9">
              <w:rPr>
                <w:rFonts w:asciiTheme="minorHAnsi" w:hAnsiTheme="minorHAnsi" w:cstheme="minorHAnsi"/>
                <w:color w:val="000000"/>
                <w:sz w:val="22"/>
                <w:szCs w:val="22"/>
              </w:rPr>
              <w:t xml:space="preserve"> tests </w:t>
            </w:r>
            <w:proofErr w:type="spellStart"/>
            <w:r w:rsidRPr="007A58D9">
              <w:rPr>
                <w:rFonts w:asciiTheme="minorHAnsi" w:hAnsiTheme="minorHAnsi" w:cstheme="minorHAnsi"/>
                <w:color w:val="000000"/>
                <w:sz w:val="22"/>
                <w:szCs w:val="22"/>
              </w:rPr>
              <w:t>used</w:t>
            </w:r>
            <w:proofErr w:type="spellEnd"/>
            <w:r w:rsidRPr="007A58D9">
              <w:rPr>
                <w:rFonts w:asciiTheme="minorHAnsi" w:hAnsiTheme="minorHAnsi" w:cstheme="minorHAnsi"/>
                <w:color w:val="000000"/>
                <w:sz w:val="22"/>
                <w:szCs w:val="22"/>
              </w:rPr>
              <w:t xml:space="preserve"> by French </w:t>
            </w:r>
            <w:proofErr w:type="spellStart"/>
            <w:r w:rsidRPr="007A58D9">
              <w:rPr>
                <w:rFonts w:asciiTheme="minorHAnsi" w:hAnsiTheme="minorHAnsi" w:cstheme="minorHAnsi"/>
                <w:color w:val="000000"/>
                <w:sz w:val="22"/>
                <w:szCs w:val="22"/>
              </w:rPr>
              <w:t>PTs</w:t>
            </w:r>
            <w:proofErr w:type="spellEnd"/>
            <w:r w:rsidRPr="007A58D9">
              <w:rPr>
                <w:rFonts w:asciiTheme="minorHAnsi" w:hAnsiTheme="minorHAnsi" w:cstheme="minorHAnsi"/>
                <w:color w:val="000000"/>
                <w:sz w:val="22"/>
                <w:szCs w:val="22"/>
              </w:rPr>
              <w:t xml:space="preserve"> and the </w:t>
            </w:r>
            <w:proofErr w:type="spellStart"/>
            <w:r w:rsidRPr="007A58D9">
              <w:rPr>
                <w:rFonts w:asciiTheme="minorHAnsi" w:hAnsiTheme="minorHAnsi" w:cstheme="minorHAnsi"/>
                <w:color w:val="000000"/>
                <w:sz w:val="22"/>
                <w:szCs w:val="22"/>
              </w:rPr>
              <w:t>factors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influencing</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their</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clinical</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choices</w:t>
            </w:r>
            <w:proofErr w:type="spellEnd"/>
            <w:r w:rsidRPr="007A58D9">
              <w:rPr>
                <w:rFonts w:asciiTheme="minorHAnsi" w:hAnsiTheme="minorHAnsi" w:cstheme="minorHAnsi"/>
                <w:color w:val="000000"/>
                <w:sz w:val="22"/>
                <w:szCs w:val="22"/>
              </w:rPr>
              <w:t xml:space="preserve">.     </w:t>
            </w:r>
          </w:p>
          <w:p w14:paraId="496C0BBC" w14:textId="77777777" w:rsidR="007F1BD7" w:rsidRDefault="007F1BD7" w:rsidP="007F1BD7">
            <w:pPr>
              <w:pStyle w:val="NormalWeb"/>
              <w:spacing w:line="276" w:lineRule="auto"/>
              <w:contextualSpacing/>
              <w:jc w:val="both"/>
              <w:rPr>
                <w:rFonts w:asciiTheme="minorHAnsi" w:hAnsiTheme="minorHAnsi" w:cstheme="minorHAnsi"/>
                <w:color w:val="000000"/>
                <w:sz w:val="22"/>
                <w:szCs w:val="22"/>
              </w:rPr>
            </w:pPr>
            <w:proofErr w:type="spellStart"/>
            <w:r w:rsidRPr="007A58D9">
              <w:rPr>
                <w:rFonts w:asciiTheme="minorHAnsi" w:hAnsiTheme="minorHAnsi" w:cstheme="minorHAnsi"/>
                <w:b/>
                <w:bCs/>
                <w:color w:val="000000"/>
                <w:sz w:val="22"/>
                <w:szCs w:val="22"/>
              </w:rPr>
              <w:t>Material</w:t>
            </w:r>
            <w:proofErr w:type="spellEnd"/>
            <w:r w:rsidRPr="007A58D9">
              <w:rPr>
                <w:rFonts w:asciiTheme="minorHAnsi" w:hAnsiTheme="minorHAnsi" w:cstheme="minorHAnsi"/>
                <w:b/>
                <w:bCs/>
                <w:color w:val="000000"/>
                <w:sz w:val="22"/>
                <w:szCs w:val="22"/>
              </w:rPr>
              <w:t xml:space="preserve"> and </w:t>
            </w:r>
            <w:proofErr w:type="gramStart"/>
            <w:r w:rsidRPr="007A58D9">
              <w:rPr>
                <w:rFonts w:asciiTheme="minorHAnsi" w:hAnsiTheme="minorHAnsi" w:cstheme="minorHAnsi"/>
                <w:b/>
                <w:bCs/>
                <w:color w:val="000000"/>
                <w:sz w:val="22"/>
                <w:szCs w:val="22"/>
              </w:rPr>
              <w:t>Methods:</w:t>
            </w:r>
            <w:proofErr w:type="gramEnd"/>
            <w:r w:rsidRPr="007A58D9">
              <w:rPr>
                <w:rStyle w:val="apple-converted-space"/>
                <w:rFonts w:asciiTheme="minorHAnsi" w:hAnsiTheme="minorHAnsi" w:cstheme="minorHAnsi"/>
                <w:color w:val="000000"/>
                <w:sz w:val="22"/>
                <w:szCs w:val="22"/>
              </w:rPr>
              <w:t> </w:t>
            </w:r>
            <w:r w:rsidRPr="007A58D9">
              <w:rPr>
                <w:rFonts w:asciiTheme="minorHAnsi" w:hAnsiTheme="minorHAnsi" w:cstheme="minorHAnsi"/>
                <w:color w:val="000000"/>
                <w:sz w:val="22"/>
                <w:szCs w:val="22"/>
              </w:rPr>
              <w:t xml:space="preserve">A quantitative </w:t>
            </w:r>
            <w:proofErr w:type="spellStart"/>
            <w:r w:rsidRPr="007A58D9">
              <w:rPr>
                <w:rFonts w:asciiTheme="minorHAnsi" w:hAnsiTheme="minorHAnsi" w:cstheme="minorHAnsi"/>
                <w:color w:val="000000"/>
                <w:sz w:val="22"/>
                <w:szCs w:val="22"/>
              </w:rPr>
              <w:t>survey</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was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conducted</w:t>
            </w:r>
            <w:proofErr w:type="spellEnd"/>
            <w:r w:rsidRPr="007A58D9">
              <w:rPr>
                <w:rFonts w:asciiTheme="minorHAnsi" w:hAnsiTheme="minorHAnsi" w:cstheme="minorHAnsi"/>
                <w:color w:val="000000"/>
                <w:sz w:val="22"/>
                <w:szCs w:val="22"/>
              </w:rPr>
              <w:t xml:space="preserve"> in 2025 </w:t>
            </w:r>
            <w:proofErr w:type="spellStart"/>
            <w:r w:rsidRPr="007A58D9">
              <w:rPr>
                <w:rFonts w:asciiTheme="minorHAnsi" w:hAnsiTheme="minorHAnsi" w:cstheme="minorHAnsi"/>
                <w:color w:val="000000"/>
                <w:sz w:val="22"/>
                <w:szCs w:val="22"/>
              </w:rPr>
              <w:t>among</w:t>
            </w:r>
            <w:proofErr w:type="spellEnd"/>
            <w:r w:rsidRPr="007A58D9">
              <w:rPr>
                <w:rFonts w:asciiTheme="minorHAnsi" w:hAnsiTheme="minorHAnsi" w:cstheme="minorHAnsi"/>
                <w:color w:val="000000"/>
                <w:sz w:val="22"/>
                <w:szCs w:val="22"/>
              </w:rPr>
              <w:t xml:space="preserve"> 37 </w:t>
            </w:r>
            <w:proofErr w:type="spellStart"/>
            <w:r w:rsidRPr="007A58D9">
              <w:rPr>
                <w:rFonts w:asciiTheme="minorHAnsi" w:hAnsiTheme="minorHAnsi" w:cstheme="minorHAnsi"/>
                <w:color w:val="000000"/>
                <w:sz w:val="22"/>
                <w:szCs w:val="22"/>
              </w:rPr>
              <w:t>PTs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mostly</w:t>
            </w:r>
            <w:proofErr w:type="spellEnd"/>
            <w:r w:rsidRPr="007A58D9">
              <w:rPr>
                <w:rFonts w:asciiTheme="minorHAnsi" w:hAnsiTheme="minorHAnsi" w:cstheme="minorHAnsi"/>
                <w:color w:val="000000"/>
                <w:sz w:val="22"/>
                <w:szCs w:val="22"/>
              </w:rPr>
              <w:t xml:space="preserve"> in </w:t>
            </w:r>
            <w:proofErr w:type="spellStart"/>
            <w:r w:rsidRPr="007A58D9">
              <w:rPr>
                <w:rFonts w:asciiTheme="minorHAnsi" w:hAnsiTheme="minorHAnsi" w:cstheme="minorHAnsi"/>
                <w:color w:val="000000"/>
                <w:sz w:val="22"/>
                <w:szCs w:val="22"/>
              </w:rPr>
              <w:t>private</w:t>
            </w:r>
            <w:proofErr w:type="spellEnd"/>
            <w:r w:rsidRPr="007A58D9">
              <w:rPr>
                <w:rFonts w:asciiTheme="minorHAnsi" w:hAnsiTheme="minorHAnsi" w:cstheme="minorHAnsi"/>
                <w:color w:val="000000"/>
                <w:sz w:val="22"/>
                <w:szCs w:val="22"/>
              </w:rPr>
              <w:t xml:space="preserve"> practice (94.6%). The </w:t>
            </w:r>
            <w:proofErr w:type="spellStart"/>
            <w:r w:rsidRPr="007A58D9">
              <w:rPr>
                <w:rFonts w:asciiTheme="minorHAnsi" w:hAnsiTheme="minorHAnsi" w:cstheme="minorHAnsi"/>
                <w:color w:val="000000"/>
                <w:sz w:val="22"/>
                <w:szCs w:val="22"/>
              </w:rPr>
              <w:t>study</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analyzed</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clinical</w:t>
            </w:r>
            <w:proofErr w:type="spellEnd"/>
            <w:r w:rsidRPr="007A58D9">
              <w:rPr>
                <w:rFonts w:asciiTheme="minorHAnsi" w:hAnsiTheme="minorHAnsi" w:cstheme="minorHAnsi"/>
                <w:color w:val="000000"/>
                <w:sz w:val="22"/>
                <w:szCs w:val="22"/>
              </w:rPr>
              <w:t xml:space="preserve"> habits, time </w:t>
            </w:r>
            <w:proofErr w:type="spellStart"/>
            <w:r w:rsidRPr="007A58D9">
              <w:rPr>
                <w:rFonts w:asciiTheme="minorHAnsi" w:hAnsiTheme="minorHAnsi" w:cstheme="minorHAnsi"/>
                <w:color w:val="000000"/>
                <w:sz w:val="22"/>
                <w:szCs w:val="22"/>
              </w:rPr>
              <w:t>allocated</w:t>
            </w:r>
            <w:proofErr w:type="spellEnd"/>
            <w:r w:rsidRPr="007A58D9">
              <w:rPr>
                <w:rFonts w:asciiTheme="minorHAnsi" w:hAnsiTheme="minorHAnsi" w:cstheme="minorHAnsi"/>
                <w:color w:val="000000"/>
                <w:sz w:val="22"/>
                <w:szCs w:val="22"/>
              </w:rPr>
              <w:t xml:space="preserve"> to </w:t>
            </w:r>
            <w:proofErr w:type="spellStart"/>
            <w:r w:rsidRPr="007A58D9">
              <w:rPr>
                <w:rFonts w:asciiTheme="minorHAnsi" w:hAnsiTheme="minorHAnsi" w:cstheme="minorHAnsi"/>
                <w:color w:val="000000"/>
                <w:sz w:val="22"/>
                <w:szCs w:val="22"/>
              </w:rPr>
              <w:t>assessment</w:t>
            </w:r>
            <w:proofErr w:type="spellEnd"/>
            <w:r w:rsidRPr="007A58D9">
              <w:rPr>
                <w:rFonts w:asciiTheme="minorHAnsi" w:hAnsiTheme="minorHAnsi" w:cstheme="minorHAnsi"/>
                <w:color w:val="000000"/>
                <w:sz w:val="22"/>
                <w:szCs w:val="22"/>
              </w:rPr>
              <w:t xml:space="preserve">, and </w:t>
            </w:r>
            <w:proofErr w:type="spellStart"/>
            <w:r w:rsidRPr="007A58D9">
              <w:rPr>
                <w:rFonts w:asciiTheme="minorHAnsi" w:hAnsiTheme="minorHAnsi" w:cstheme="minorHAnsi"/>
                <w:color w:val="000000"/>
                <w:sz w:val="22"/>
                <w:szCs w:val="22"/>
              </w:rPr>
              <w:t>knowledge</w:t>
            </w:r>
            <w:proofErr w:type="spellEnd"/>
            <w:r w:rsidRPr="007A58D9">
              <w:rPr>
                <w:rFonts w:asciiTheme="minorHAnsi" w:hAnsiTheme="minorHAnsi" w:cstheme="minorHAnsi"/>
                <w:color w:val="000000"/>
                <w:sz w:val="22"/>
                <w:szCs w:val="22"/>
              </w:rPr>
              <w:t xml:space="preserve"> of </w:t>
            </w:r>
            <w:proofErr w:type="spellStart"/>
            <w:r w:rsidRPr="007A58D9">
              <w:rPr>
                <w:rFonts w:asciiTheme="minorHAnsi" w:hAnsiTheme="minorHAnsi" w:cstheme="minorHAnsi"/>
                <w:color w:val="000000"/>
                <w:sz w:val="22"/>
                <w:szCs w:val="22"/>
              </w:rPr>
              <w:t>theoretical</w:t>
            </w:r>
            <w:proofErr w:type="spellEnd"/>
            <w:r>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models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such</w:t>
            </w:r>
            <w:proofErr w:type="spellEnd"/>
            <w:r w:rsidRPr="007A58D9">
              <w:rPr>
                <w:rFonts w:asciiTheme="minorHAnsi" w:hAnsiTheme="minorHAnsi" w:cstheme="minorHAnsi"/>
                <w:color w:val="000000"/>
                <w:sz w:val="22"/>
                <w:szCs w:val="22"/>
              </w:rPr>
              <w:t xml:space="preserve"> as </w:t>
            </w:r>
            <w:proofErr w:type="spellStart"/>
            <w:r w:rsidRPr="007A58D9">
              <w:rPr>
                <w:rFonts w:asciiTheme="minorHAnsi" w:hAnsiTheme="minorHAnsi" w:cstheme="minorHAnsi"/>
                <w:color w:val="000000"/>
                <w:sz w:val="22"/>
                <w:szCs w:val="22"/>
              </w:rPr>
              <w:t>Horak’s</w:t>
            </w:r>
            <w:proofErr w:type="spellEnd"/>
            <w:r w:rsidRPr="007A58D9">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w:t>
            </w:r>
          </w:p>
          <w:p w14:paraId="510B1638" w14:textId="77777777" w:rsidR="007F1BD7" w:rsidRDefault="007F1BD7" w:rsidP="007F1BD7">
            <w:pPr>
              <w:pStyle w:val="NormalWeb"/>
              <w:spacing w:line="276" w:lineRule="auto"/>
              <w:contextualSpacing/>
              <w:jc w:val="both"/>
              <w:rPr>
                <w:rFonts w:asciiTheme="minorHAnsi" w:hAnsiTheme="minorHAnsi" w:cstheme="minorHAnsi"/>
                <w:color w:val="000000"/>
                <w:sz w:val="22"/>
                <w:szCs w:val="22"/>
              </w:rPr>
            </w:pPr>
            <w:proofErr w:type="spellStart"/>
            <w:r w:rsidRPr="007A58D9">
              <w:rPr>
                <w:rFonts w:asciiTheme="minorHAnsi" w:hAnsiTheme="minorHAnsi" w:cstheme="minorHAnsi"/>
                <w:b/>
                <w:bCs/>
                <w:color w:val="000000"/>
                <w:sz w:val="22"/>
                <w:szCs w:val="22"/>
              </w:rPr>
              <w:t>Results</w:t>
            </w:r>
            <w:proofErr w:type="spellEnd"/>
            <w:r w:rsidRPr="007A58D9">
              <w:rPr>
                <w:rFonts w:asciiTheme="minorHAnsi" w:hAnsiTheme="minorHAnsi" w:cstheme="minorHAnsi"/>
                <w:b/>
                <w:bCs/>
                <w:color w:val="000000"/>
                <w:sz w:val="22"/>
                <w:szCs w:val="22"/>
              </w:rPr>
              <w:t xml:space="preserve"> :</w:t>
            </w:r>
            <w:r w:rsidRPr="007A58D9">
              <w:rPr>
                <w:rStyle w:val="apple-converted-space"/>
                <w:rFonts w:asciiTheme="minorHAnsi" w:hAnsiTheme="minorHAnsi" w:cstheme="minorHAnsi"/>
                <w:color w:val="000000"/>
                <w:sz w:val="22"/>
                <w:szCs w:val="22"/>
              </w:rPr>
              <w:t> </w:t>
            </w:r>
            <w:proofErr w:type="spellStart"/>
            <w:r w:rsidRPr="007A58D9">
              <w:rPr>
                <w:rFonts w:asciiTheme="minorHAnsi" w:hAnsiTheme="minorHAnsi" w:cstheme="minorHAnsi"/>
                <w:color w:val="000000"/>
                <w:sz w:val="22"/>
                <w:szCs w:val="22"/>
              </w:rPr>
              <w:t>Assessment</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is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frequent</w:t>
            </w:r>
            <w:proofErr w:type="spellEnd"/>
            <w:r w:rsidRPr="007A58D9">
              <w:rPr>
                <w:rFonts w:asciiTheme="minorHAnsi" w:hAnsiTheme="minorHAnsi" w:cstheme="minorHAnsi"/>
                <w:color w:val="000000"/>
                <w:sz w:val="22"/>
                <w:szCs w:val="22"/>
              </w:rPr>
              <w:t xml:space="preserve"> but </w:t>
            </w:r>
            <w:proofErr w:type="gramStart"/>
            <w:r w:rsidRPr="007A58D9">
              <w:rPr>
                <w:rFonts w:asciiTheme="minorHAnsi" w:hAnsiTheme="minorHAnsi" w:cstheme="minorHAnsi"/>
                <w:color w:val="000000"/>
                <w:sz w:val="22"/>
                <w:szCs w:val="22"/>
              </w:rPr>
              <w:t>brief:</w:t>
            </w:r>
            <w:proofErr w:type="gramEnd"/>
            <w:r w:rsidRPr="007A58D9">
              <w:rPr>
                <w:rFonts w:asciiTheme="minorHAnsi" w:hAnsiTheme="minorHAnsi" w:cstheme="minorHAnsi"/>
                <w:color w:val="000000"/>
                <w:sz w:val="22"/>
                <w:szCs w:val="22"/>
              </w:rPr>
              <w:t xml:space="preserve"> 59.5% of </w:t>
            </w:r>
            <w:proofErr w:type="spellStart"/>
            <w:r w:rsidRPr="007A58D9">
              <w:rPr>
                <w:rFonts w:asciiTheme="minorHAnsi" w:hAnsiTheme="minorHAnsi" w:cstheme="minorHAnsi"/>
                <w:color w:val="000000"/>
                <w:sz w:val="22"/>
                <w:szCs w:val="22"/>
              </w:rPr>
              <w:t>practitioners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spend</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less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than</w:t>
            </w:r>
            <w:proofErr w:type="spellEnd"/>
            <w:r w:rsidRPr="007A58D9">
              <w:rPr>
                <w:rFonts w:asciiTheme="minorHAnsi" w:hAnsiTheme="minorHAnsi" w:cstheme="minorHAnsi"/>
                <w:color w:val="000000"/>
                <w:sz w:val="22"/>
                <w:szCs w:val="22"/>
              </w:rPr>
              <w:t xml:space="preserve"> 10 minutes on </w:t>
            </w:r>
            <w:proofErr w:type="spellStart"/>
            <w:r w:rsidRPr="007A58D9">
              <w:rPr>
                <w:rFonts w:asciiTheme="minorHAnsi" w:hAnsiTheme="minorHAnsi" w:cstheme="minorHAnsi"/>
                <w:color w:val="000000"/>
                <w:sz w:val="22"/>
                <w:szCs w:val="22"/>
              </w:rPr>
              <w:t>it</w:t>
            </w:r>
            <w:proofErr w:type="spellEnd"/>
            <w:r w:rsidRPr="007A58D9">
              <w:rPr>
                <w:rFonts w:asciiTheme="minorHAnsi" w:hAnsiTheme="minorHAnsi" w:cstheme="minorHAnsi"/>
                <w:color w:val="000000"/>
                <w:sz w:val="22"/>
                <w:szCs w:val="22"/>
              </w:rPr>
              <w:t>. The</w:t>
            </w:r>
            <w:r w:rsidRPr="007A58D9">
              <w:rPr>
                <w:rStyle w:val="apple-converted-space"/>
                <w:rFonts w:asciiTheme="minorHAnsi" w:hAnsiTheme="minorHAnsi" w:cstheme="minorHAnsi"/>
                <w:color w:val="000000"/>
                <w:sz w:val="22"/>
                <w:szCs w:val="22"/>
              </w:rPr>
              <w:t> </w:t>
            </w:r>
            <w:r w:rsidRPr="007A58D9">
              <w:rPr>
                <w:rFonts w:asciiTheme="minorHAnsi" w:hAnsiTheme="minorHAnsi" w:cstheme="minorHAnsi"/>
                <w:b/>
                <w:bCs/>
                <w:color w:val="000000"/>
                <w:sz w:val="22"/>
                <w:szCs w:val="22"/>
              </w:rPr>
              <w:t>single-leg stance test</w:t>
            </w:r>
            <w:r w:rsidRPr="007A58D9">
              <w:rPr>
                <w:rStyle w:val="apple-converted-space"/>
                <w:rFonts w:asciiTheme="minorHAnsi" w:hAnsiTheme="minorHAnsi" w:cstheme="minorHAnsi"/>
                <w:color w:val="000000"/>
                <w:sz w:val="22"/>
                <w:szCs w:val="22"/>
              </w:rPr>
              <w:t> </w:t>
            </w:r>
            <w:proofErr w:type="spellStart"/>
            <w:r w:rsidRPr="007A58D9">
              <w:rPr>
                <w:rFonts w:asciiTheme="minorHAnsi" w:hAnsiTheme="minorHAnsi" w:cstheme="minorHAnsi"/>
                <w:color w:val="000000"/>
                <w:sz w:val="22"/>
                <w:szCs w:val="22"/>
              </w:rPr>
              <w:t>is</w:t>
            </w:r>
            <w:proofErr w:type="spellEnd"/>
            <w:r w:rsidRPr="007A58D9">
              <w:rPr>
                <w:rFonts w:asciiTheme="minorHAnsi" w:hAnsiTheme="minorHAnsi" w:cstheme="minorHAnsi"/>
                <w:color w:val="000000"/>
                <w:sz w:val="22"/>
                <w:szCs w:val="22"/>
              </w:rPr>
              <w:t xml:space="preserve"> the benchmark </w:t>
            </w:r>
            <w:proofErr w:type="spellStart"/>
            <w:r w:rsidRPr="007A58D9">
              <w:rPr>
                <w:rFonts w:asciiTheme="minorHAnsi" w:hAnsiTheme="minorHAnsi" w:cstheme="minorHAnsi"/>
                <w:color w:val="000000"/>
                <w:sz w:val="22"/>
                <w:szCs w:val="22"/>
              </w:rPr>
              <w:t>tool</w:t>
            </w:r>
            <w:proofErr w:type="spellEnd"/>
            <w:r w:rsidRPr="007A58D9">
              <w:rPr>
                <w:rFonts w:asciiTheme="minorHAnsi" w:hAnsiTheme="minorHAnsi" w:cstheme="minorHAnsi"/>
                <w:color w:val="000000"/>
                <w:sz w:val="22"/>
                <w:szCs w:val="22"/>
              </w:rPr>
              <w:t xml:space="preserve"> (55.3% </w:t>
            </w:r>
            <w:proofErr w:type="spellStart"/>
            <w:r w:rsidRPr="007A58D9">
              <w:rPr>
                <w:rFonts w:asciiTheme="minorHAnsi" w:hAnsiTheme="minorHAnsi" w:cstheme="minorHAnsi"/>
                <w:color w:val="000000"/>
                <w:sz w:val="22"/>
                <w:szCs w:val="22"/>
              </w:rPr>
              <w:t>systematic</w:t>
            </w:r>
            <w:proofErr w:type="spellEnd"/>
            <w:r w:rsidRPr="007A58D9">
              <w:rPr>
                <w:rFonts w:asciiTheme="minorHAnsi" w:hAnsiTheme="minorHAnsi" w:cstheme="minorHAnsi"/>
                <w:color w:val="000000"/>
                <w:sz w:val="22"/>
                <w:szCs w:val="22"/>
              </w:rPr>
              <w:t xml:space="preserve"> use), </w:t>
            </w:r>
            <w:proofErr w:type="spellStart"/>
            <w:r w:rsidRPr="007A58D9">
              <w:rPr>
                <w:rFonts w:asciiTheme="minorHAnsi" w:hAnsiTheme="minorHAnsi" w:cstheme="minorHAnsi"/>
                <w:color w:val="000000"/>
                <w:sz w:val="22"/>
                <w:szCs w:val="22"/>
              </w:rPr>
              <w:t>while</w:t>
            </w:r>
            <w:proofErr w:type="spellEnd"/>
            <w:r w:rsidRPr="007A58D9">
              <w:rPr>
                <w:rFonts w:asciiTheme="minorHAnsi" w:hAnsiTheme="minorHAnsi" w:cstheme="minorHAnsi"/>
                <w:color w:val="000000"/>
                <w:sz w:val="22"/>
                <w:szCs w:val="22"/>
              </w:rPr>
              <w:t xml:space="preserve"> more </w:t>
            </w:r>
            <w:proofErr w:type="spellStart"/>
            <w:r w:rsidRPr="007A58D9">
              <w:rPr>
                <w:rFonts w:asciiTheme="minorHAnsi" w:hAnsiTheme="minorHAnsi" w:cstheme="minorHAnsi"/>
                <w:color w:val="000000"/>
                <w:sz w:val="22"/>
                <w:szCs w:val="22"/>
              </w:rPr>
              <w:t>comprehensive</w:t>
            </w:r>
            <w:proofErr w:type="spellEnd"/>
            <w:r w:rsidRPr="007A58D9">
              <w:rPr>
                <w:rFonts w:asciiTheme="minorHAnsi" w:hAnsiTheme="minorHAnsi" w:cstheme="minorHAnsi"/>
                <w:color w:val="000000"/>
                <w:sz w:val="22"/>
                <w:szCs w:val="22"/>
              </w:rPr>
              <w:t xml:space="preserve"> tests (</w:t>
            </w:r>
            <w:proofErr w:type="spellStart"/>
            <w:r w:rsidRPr="007A58D9">
              <w:rPr>
                <w:rFonts w:asciiTheme="minorHAnsi" w:hAnsiTheme="minorHAnsi" w:cstheme="minorHAnsi"/>
                <w:i/>
                <w:iCs/>
                <w:color w:val="000000"/>
                <w:sz w:val="22"/>
                <w:szCs w:val="22"/>
              </w:rPr>
              <w:t>BESTest</w:t>
            </w:r>
            <w:proofErr w:type="spellEnd"/>
            <w:r w:rsidRPr="007A58D9">
              <w:rPr>
                <w:rFonts w:asciiTheme="minorHAnsi" w:hAnsiTheme="minorHAnsi" w:cstheme="minorHAnsi"/>
                <w:color w:val="000000"/>
                <w:sz w:val="22"/>
                <w:szCs w:val="22"/>
              </w:rPr>
              <w:t>,</w:t>
            </w:r>
            <w:r w:rsidRPr="007A58D9">
              <w:rPr>
                <w:rStyle w:val="apple-converted-space"/>
                <w:rFonts w:asciiTheme="minorHAnsi" w:hAnsiTheme="minorHAnsi" w:cstheme="minorHAnsi"/>
                <w:color w:val="000000"/>
                <w:sz w:val="22"/>
                <w:szCs w:val="22"/>
              </w:rPr>
              <w:t> </w:t>
            </w:r>
            <w:r w:rsidRPr="007A58D9">
              <w:rPr>
                <w:rFonts w:asciiTheme="minorHAnsi" w:hAnsiTheme="minorHAnsi" w:cstheme="minorHAnsi"/>
                <w:i/>
                <w:iCs/>
                <w:color w:val="000000"/>
                <w:sz w:val="22"/>
                <w:szCs w:val="22"/>
              </w:rPr>
              <w:t>Mini-</w:t>
            </w:r>
            <w:proofErr w:type="spellStart"/>
            <w:r w:rsidRPr="007A58D9">
              <w:rPr>
                <w:rFonts w:asciiTheme="minorHAnsi" w:hAnsiTheme="minorHAnsi" w:cstheme="minorHAnsi"/>
                <w:i/>
                <w:iCs/>
                <w:color w:val="000000"/>
                <w:sz w:val="22"/>
                <w:szCs w:val="22"/>
              </w:rPr>
              <w:t>BESTest</w:t>
            </w:r>
            <w:proofErr w:type="spellEnd"/>
            <w:r w:rsidRPr="007A58D9">
              <w:rPr>
                <w:rFonts w:asciiTheme="minorHAnsi" w:hAnsiTheme="minorHAnsi" w:cstheme="minorHAnsi"/>
                <w:color w:val="000000"/>
                <w:sz w:val="22"/>
                <w:szCs w:val="22"/>
              </w:rPr>
              <w:t xml:space="preserve">) are </w:t>
            </w:r>
            <w:proofErr w:type="spellStart"/>
            <w:r w:rsidRPr="007A58D9">
              <w:rPr>
                <w:rFonts w:asciiTheme="minorHAnsi" w:hAnsiTheme="minorHAnsi" w:cstheme="minorHAnsi"/>
                <w:color w:val="000000"/>
                <w:sz w:val="22"/>
                <w:szCs w:val="22"/>
              </w:rPr>
              <w:t>unknown</w:t>
            </w:r>
            <w:proofErr w:type="spellEnd"/>
            <w:r w:rsidRPr="007A58D9">
              <w:rPr>
                <w:rFonts w:asciiTheme="minorHAnsi" w:hAnsiTheme="minorHAnsi" w:cstheme="minorHAnsi"/>
                <w:color w:val="000000"/>
                <w:sz w:val="22"/>
                <w:szCs w:val="22"/>
              </w:rPr>
              <w:t xml:space="preserve"> to </w:t>
            </w:r>
            <w:proofErr w:type="spellStart"/>
            <w:r w:rsidRPr="007A58D9">
              <w:rPr>
                <w:rFonts w:asciiTheme="minorHAnsi" w:hAnsiTheme="minorHAnsi" w:cstheme="minorHAnsi"/>
                <w:color w:val="000000"/>
                <w:sz w:val="22"/>
                <w:szCs w:val="22"/>
              </w:rPr>
              <w:t>approximately</w:t>
            </w:r>
            <w:proofErr w:type="spellEnd"/>
            <w:r w:rsidRPr="007A58D9">
              <w:rPr>
                <w:rFonts w:asciiTheme="minorHAnsi" w:hAnsiTheme="minorHAnsi" w:cstheme="minorHAnsi"/>
                <w:color w:val="000000"/>
                <w:sz w:val="22"/>
                <w:szCs w:val="22"/>
              </w:rPr>
              <w:t xml:space="preserve"> 40% of </w:t>
            </w:r>
            <w:proofErr w:type="spellStart"/>
            <w:r w:rsidRPr="007A58D9">
              <w:rPr>
                <w:rFonts w:asciiTheme="minorHAnsi" w:hAnsiTheme="minorHAnsi" w:cstheme="minorHAnsi"/>
                <w:color w:val="000000"/>
                <w:sz w:val="22"/>
                <w:szCs w:val="22"/>
              </w:rPr>
              <w:t>respondents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Lack</w:t>
            </w:r>
            <w:proofErr w:type="spellEnd"/>
            <w:r w:rsidRPr="007A58D9">
              <w:rPr>
                <w:rFonts w:asciiTheme="minorHAnsi" w:hAnsiTheme="minorHAnsi" w:cstheme="minorHAnsi"/>
                <w:color w:val="000000"/>
                <w:sz w:val="22"/>
                <w:szCs w:val="22"/>
              </w:rPr>
              <w:t xml:space="preserve"> of time (56.8%) and a </w:t>
            </w:r>
            <w:proofErr w:type="spellStart"/>
            <w:r w:rsidRPr="007A58D9">
              <w:rPr>
                <w:rFonts w:asciiTheme="minorHAnsi" w:hAnsiTheme="minorHAnsi" w:cstheme="minorHAnsi"/>
                <w:color w:val="000000"/>
                <w:sz w:val="22"/>
                <w:szCs w:val="22"/>
              </w:rPr>
              <w:t>deficit</w:t>
            </w:r>
            <w:proofErr w:type="spellEnd"/>
            <w:r w:rsidRPr="007A58D9">
              <w:rPr>
                <w:rFonts w:asciiTheme="minorHAnsi" w:hAnsiTheme="minorHAnsi" w:cstheme="minorHAnsi"/>
                <w:color w:val="000000"/>
                <w:sz w:val="22"/>
                <w:szCs w:val="22"/>
              </w:rPr>
              <w:t xml:space="preserve"> in </w:t>
            </w:r>
            <w:proofErr w:type="spellStart"/>
            <w:r w:rsidRPr="007A58D9">
              <w:rPr>
                <w:rFonts w:asciiTheme="minorHAnsi" w:hAnsiTheme="minorHAnsi" w:cstheme="minorHAnsi"/>
                <w:color w:val="000000"/>
                <w:sz w:val="22"/>
                <w:szCs w:val="22"/>
              </w:rPr>
              <w:t>specific</w:t>
            </w:r>
            <w:proofErr w:type="spellEnd"/>
            <w:r w:rsidRPr="007A58D9">
              <w:rPr>
                <w:rFonts w:asciiTheme="minorHAnsi" w:hAnsiTheme="minorHAnsi" w:cstheme="minorHAnsi"/>
                <w:color w:val="000000"/>
                <w:sz w:val="22"/>
                <w:szCs w:val="22"/>
              </w:rPr>
              <w:t xml:space="preserve"> training (43.2%) are the main </w:t>
            </w:r>
            <w:proofErr w:type="spellStart"/>
            <w:r w:rsidRPr="007A58D9">
              <w:rPr>
                <w:rFonts w:asciiTheme="minorHAnsi" w:hAnsiTheme="minorHAnsi" w:cstheme="minorHAnsi"/>
                <w:color w:val="000000"/>
                <w:sz w:val="22"/>
                <w:szCs w:val="22"/>
              </w:rPr>
              <w:t>barriers</w:t>
            </w:r>
            <w:proofErr w:type="spellEnd"/>
            <w:r w:rsidRPr="007A58D9">
              <w:rPr>
                <w:rFonts w:asciiTheme="minorHAnsi" w:hAnsiTheme="minorHAnsi" w:cstheme="minorHAnsi"/>
                <w:color w:val="000000"/>
                <w:sz w:val="22"/>
                <w:szCs w:val="22"/>
              </w:rPr>
              <w:t xml:space="preserve"> to exhaustive </w:t>
            </w:r>
            <w:proofErr w:type="spellStart"/>
            <w:r w:rsidRPr="007A58D9">
              <w:rPr>
                <w:rFonts w:asciiTheme="minorHAnsi" w:hAnsiTheme="minorHAnsi" w:cstheme="minorHAnsi"/>
                <w:color w:val="000000"/>
                <w:sz w:val="22"/>
                <w:szCs w:val="22"/>
              </w:rPr>
              <w:t>assessment</w:t>
            </w:r>
            <w:proofErr w:type="spellEnd"/>
            <w:r w:rsidRPr="007A58D9">
              <w:rPr>
                <w:rFonts w:asciiTheme="minorHAnsi" w:hAnsiTheme="minorHAnsi" w:cstheme="minorHAnsi"/>
                <w:color w:val="000000"/>
                <w:sz w:val="22"/>
                <w:szCs w:val="22"/>
              </w:rPr>
              <w:t xml:space="preserve">.              </w:t>
            </w:r>
          </w:p>
          <w:p w14:paraId="76832F42" w14:textId="77777777" w:rsidR="007F1BD7" w:rsidRDefault="007F1BD7" w:rsidP="007F1BD7">
            <w:pPr>
              <w:pStyle w:val="NormalWeb"/>
              <w:spacing w:line="276" w:lineRule="auto"/>
              <w:contextualSpacing/>
              <w:jc w:val="both"/>
              <w:rPr>
                <w:rFonts w:asciiTheme="minorHAnsi" w:hAnsiTheme="minorHAnsi" w:cstheme="minorHAnsi"/>
                <w:color w:val="000000"/>
                <w:sz w:val="22"/>
                <w:szCs w:val="22"/>
              </w:rPr>
            </w:pPr>
            <w:r w:rsidRPr="007A58D9">
              <w:rPr>
                <w:rFonts w:asciiTheme="minorHAnsi" w:hAnsiTheme="minorHAnsi" w:cstheme="minorHAnsi"/>
                <w:b/>
                <w:bCs/>
                <w:color w:val="000000"/>
                <w:sz w:val="22"/>
                <w:szCs w:val="22"/>
              </w:rPr>
              <w:t>Conclusion :</w:t>
            </w:r>
            <w:r w:rsidRPr="007A58D9">
              <w:rPr>
                <w:rStyle w:val="apple-converted-space"/>
                <w:rFonts w:asciiTheme="minorHAnsi" w:hAnsiTheme="minorHAnsi" w:cstheme="minorHAnsi"/>
                <w:color w:val="000000"/>
                <w:sz w:val="22"/>
                <w:szCs w:val="22"/>
              </w:rPr>
              <w:t> </w:t>
            </w:r>
            <w:proofErr w:type="spellStart"/>
            <w:r w:rsidRPr="007A58D9">
              <w:rPr>
                <w:rFonts w:asciiTheme="minorHAnsi" w:hAnsiTheme="minorHAnsi" w:cstheme="minorHAnsi"/>
                <w:color w:val="000000"/>
                <w:sz w:val="22"/>
                <w:szCs w:val="22"/>
              </w:rPr>
              <w:t>Current</w:t>
            </w:r>
            <w:proofErr w:type="spellEnd"/>
            <w:r w:rsidRPr="007A58D9">
              <w:rPr>
                <w:rFonts w:asciiTheme="minorHAnsi" w:hAnsiTheme="minorHAnsi" w:cstheme="minorHAnsi"/>
                <w:color w:val="000000"/>
                <w:sz w:val="22"/>
                <w:szCs w:val="22"/>
              </w:rPr>
              <w:t xml:space="preserve"> practices </w:t>
            </w:r>
            <w:proofErr w:type="spellStart"/>
            <w:r w:rsidRPr="007A58D9">
              <w:rPr>
                <w:rFonts w:asciiTheme="minorHAnsi" w:hAnsiTheme="minorHAnsi" w:cstheme="minorHAnsi"/>
                <w:color w:val="000000"/>
                <w:sz w:val="22"/>
                <w:szCs w:val="22"/>
              </w:rPr>
              <w:t>prioritize</w:t>
            </w:r>
            <w:proofErr w:type="spellEnd"/>
            <w:r w:rsidRPr="007A58D9">
              <w:rPr>
                <w:rFonts w:asciiTheme="minorHAnsi" w:hAnsiTheme="minorHAnsi" w:cstheme="minorHAnsi"/>
                <w:color w:val="000000"/>
                <w:sz w:val="22"/>
                <w:szCs w:val="22"/>
              </w:rPr>
              <w:t xml:space="preserve"> speed over the </w:t>
            </w:r>
            <w:proofErr w:type="spellStart"/>
            <w:r w:rsidRPr="007A58D9">
              <w:rPr>
                <w:rFonts w:asciiTheme="minorHAnsi" w:hAnsiTheme="minorHAnsi" w:cstheme="minorHAnsi"/>
                <w:color w:val="000000"/>
                <w:sz w:val="22"/>
                <w:szCs w:val="22"/>
              </w:rPr>
              <w:t>differential</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diagnosis</w:t>
            </w:r>
            <w:proofErr w:type="spellEnd"/>
            <w:r w:rsidRPr="007A58D9">
              <w:rPr>
                <w:rFonts w:asciiTheme="minorHAnsi" w:hAnsiTheme="minorHAnsi" w:cstheme="minorHAnsi"/>
                <w:color w:val="000000"/>
                <w:sz w:val="22"/>
                <w:szCs w:val="22"/>
              </w:rPr>
              <w:t xml:space="preserve"> of balance </w:t>
            </w:r>
            <w:proofErr w:type="spellStart"/>
            <w:r w:rsidRPr="007A58D9">
              <w:rPr>
                <w:rFonts w:asciiTheme="minorHAnsi" w:hAnsiTheme="minorHAnsi" w:cstheme="minorHAnsi"/>
                <w:color w:val="000000"/>
                <w:sz w:val="22"/>
                <w:szCs w:val="22"/>
              </w:rPr>
              <w:t>systems</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Despite</w:t>
            </w:r>
            <w:proofErr w:type="spellEnd"/>
            <w:r w:rsidRPr="007A58D9">
              <w:rPr>
                <w:rFonts w:asciiTheme="minorHAnsi" w:hAnsiTheme="minorHAnsi" w:cstheme="minorHAnsi"/>
                <w:color w:val="000000"/>
                <w:sz w:val="22"/>
                <w:szCs w:val="22"/>
              </w:rPr>
              <w:t xml:space="preserve"> a </w:t>
            </w:r>
            <w:proofErr w:type="spellStart"/>
            <w:r w:rsidRPr="007A58D9">
              <w:rPr>
                <w:rFonts w:asciiTheme="minorHAnsi" w:hAnsiTheme="minorHAnsi" w:cstheme="minorHAnsi"/>
                <w:color w:val="000000"/>
                <w:sz w:val="22"/>
                <w:szCs w:val="22"/>
              </w:rPr>
              <w:t>lack</w:t>
            </w:r>
            <w:proofErr w:type="spellEnd"/>
            <w:r w:rsidRPr="007A58D9">
              <w:rPr>
                <w:rFonts w:asciiTheme="minorHAnsi" w:hAnsiTheme="minorHAnsi" w:cstheme="minorHAnsi"/>
                <w:color w:val="000000"/>
                <w:sz w:val="22"/>
                <w:szCs w:val="22"/>
              </w:rPr>
              <w:t xml:space="preserve"> of </w:t>
            </w:r>
            <w:proofErr w:type="spellStart"/>
            <w:r w:rsidRPr="007A58D9">
              <w:rPr>
                <w:rFonts w:asciiTheme="minorHAnsi" w:hAnsiTheme="minorHAnsi" w:cstheme="minorHAnsi"/>
                <w:color w:val="000000"/>
                <w:sz w:val="22"/>
                <w:szCs w:val="22"/>
              </w:rPr>
              <w:t>knowledge</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regarding</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Horak’s</w:t>
            </w:r>
            <w:proofErr w:type="spellEnd"/>
            <w:r w:rsidRPr="007A58D9">
              <w:rPr>
                <w:rFonts w:asciiTheme="minorHAnsi" w:hAnsiTheme="minorHAnsi" w:cstheme="minorHAnsi"/>
                <w:color w:val="000000"/>
                <w:sz w:val="22"/>
                <w:szCs w:val="22"/>
              </w:rPr>
              <w:t xml:space="preserve"> model (89.2%), a </w:t>
            </w:r>
            <w:proofErr w:type="spellStart"/>
            <w:r w:rsidRPr="007A58D9">
              <w:rPr>
                <w:rFonts w:asciiTheme="minorHAnsi" w:hAnsiTheme="minorHAnsi" w:cstheme="minorHAnsi"/>
                <w:color w:val="000000"/>
                <w:sz w:val="22"/>
                <w:szCs w:val="22"/>
              </w:rPr>
              <w:t>strong</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interest</w:t>
            </w:r>
            <w:proofErr w:type="spellEnd"/>
            <w:r w:rsidRPr="007A58D9">
              <w:rPr>
                <w:rFonts w:asciiTheme="minorHAnsi" w:hAnsiTheme="minorHAnsi" w:cstheme="minorHAnsi"/>
                <w:color w:val="000000"/>
                <w:sz w:val="22"/>
                <w:szCs w:val="22"/>
              </w:rPr>
              <w:t xml:space="preserve"> in </w:t>
            </w:r>
            <w:proofErr w:type="spellStart"/>
            <w:r w:rsidRPr="007A58D9">
              <w:rPr>
                <w:rFonts w:asciiTheme="minorHAnsi" w:hAnsiTheme="minorHAnsi" w:cstheme="minorHAnsi"/>
                <w:color w:val="000000"/>
                <w:sz w:val="22"/>
                <w:szCs w:val="22"/>
              </w:rPr>
              <w:t>further</w:t>
            </w:r>
            <w:proofErr w:type="spellEnd"/>
            <w:r w:rsidRPr="007A58D9">
              <w:rPr>
                <w:rFonts w:asciiTheme="minorHAnsi" w:hAnsiTheme="minorHAnsi" w:cstheme="minorHAnsi"/>
                <w:color w:val="000000"/>
                <w:sz w:val="22"/>
                <w:szCs w:val="22"/>
              </w:rPr>
              <w:t xml:space="preserve"> training (83.8%) </w:t>
            </w:r>
            <w:proofErr w:type="spellStart"/>
            <w:r w:rsidRPr="007A58D9">
              <w:rPr>
                <w:rFonts w:asciiTheme="minorHAnsi" w:hAnsiTheme="minorHAnsi" w:cstheme="minorHAnsi"/>
                <w:color w:val="000000"/>
                <w:sz w:val="22"/>
                <w:szCs w:val="22"/>
              </w:rPr>
              <w:t>suggests</w:t>
            </w:r>
            <w:proofErr w:type="spellEnd"/>
            <w:r w:rsidRPr="007A58D9">
              <w:rPr>
                <w:rFonts w:asciiTheme="minorHAnsi" w:hAnsiTheme="minorHAnsi" w:cstheme="minorHAnsi"/>
                <w:color w:val="000000"/>
                <w:sz w:val="22"/>
                <w:szCs w:val="22"/>
              </w:rPr>
              <w:t xml:space="preserve"> a major lever for </w:t>
            </w:r>
            <w:proofErr w:type="spellStart"/>
            <w:r w:rsidRPr="007A58D9">
              <w:rPr>
                <w:rFonts w:asciiTheme="minorHAnsi" w:hAnsiTheme="minorHAnsi" w:cstheme="minorHAnsi"/>
                <w:color w:val="000000"/>
                <w:sz w:val="22"/>
                <w:szCs w:val="22"/>
              </w:rPr>
              <w:t>optimizing</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fall</w:t>
            </w:r>
            <w:proofErr w:type="spellEnd"/>
            <w:r w:rsidRPr="007A58D9">
              <w:rPr>
                <w:rFonts w:asciiTheme="minorHAnsi" w:hAnsiTheme="minorHAnsi" w:cstheme="minorHAnsi"/>
                <w:color w:val="000000"/>
                <w:sz w:val="22"/>
                <w:szCs w:val="22"/>
              </w:rPr>
              <w:t xml:space="preserve"> </w:t>
            </w:r>
            <w:proofErr w:type="spellStart"/>
            <w:r w:rsidRPr="007A58D9">
              <w:rPr>
                <w:rFonts w:asciiTheme="minorHAnsi" w:hAnsiTheme="minorHAnsi" w:cstheme="minorHAnsi"/>
                <w:color w:val="000000"/>
                <w:sz w:val="22"/>
                <w:szCs w:val="22"/>
              </w:rPr>
              <w:t>prevention</w:t>
            </w:r>
            <w:proofErr w:type="spellEnd"/>
            <w:r w:rsidRPr="007A58D9">
              <w:rPr>
                <w:rFonts w:asciiTheme="minorHAnsi" w:hAnsiTheme="minorHAnsi" w:cstheme="minorHAnsi"/>
                <w:color w:val="000000"/>
                <w:sz w:val="22"/>
                <w:szCs w:val="22"/>
              </w:rPr>
              <w:t>.</w:t>
            </w:r>
          </w:p>
          <w:p w14:paraId="57381B83" w14:textId="76145CFA" w:rsidR="007F1BD7" w:rsidRPr="007F1BD7" w:rsidRDefault="007F1BD7" w:rsidP="007F1BD7">
            <w:pPr>
              <w:pStyle w:val="NormalWeb"/>
              <w:spacing w:line="276" w:lineRule="auto"/>
              <w:contextualSpacing/>
              <w:jc w:val="both"/>
              <w:rPr>
                <w:rFonts w:asciiTheme="minorHAnsi" w:hAnsiTheme="minorHAnsi" w:cstheme="minorHAnsi"/>
                <w:color w:val="000000"/>
                <w:sz w:val="22"/>
                <w:szCs w:val="22"/>
              </w:rPr>
            </w:pPr>
          </w:p>
        </w:tc>
      </w:tr>
      <w:tr w:rsidR="007F1BD7" w14:paraId="37BD1BE1" w14:textId="77777777" w:rsidTr="007F1BD7">
        <w:tc>
          <w:tcPr>
            <w:tcW w:w="9060" w:type="dxa"/>
          </w:tcPr>
          <w:p w14:paraId="58330113" w14:textId="1AC52116" w:rsidR="007F1BD7" w:rsidRPr="007F1BD7" w:rsidRDefault="007F1BD7" w:rsidP="007F1BD7">
            <w:pPr>
              <w:jc w:val="both"/>
              <w:rPr>
                <w:rFonts w:eastAsia="Calibri" w:cstheme="minorHAnsi"/>
                <w:b/>
                <w:bCs/>
              </w:rPr>
            </w:pPr>
            <w:r w:rsidRPr="007F1BD7">
              <w:rPr>
                <w:rFonts w:eastAsia="Calibri" w:cstheme="minorHAnsi"/>
                <w:b/>
                <w:bCs/>
              </w:rPr>
              <w:t>KEYWORDS</w:t>
            </w:r>
            <w:r>
              <w:rPr>
                <w:rFonts w:eastAsia="Calibri" w:cstheme="minorHAnsi"/>
                <w:b/>
                <w:bCs/>
              </w:rPr>
              <w:t xml:space="preserve"> : Postural Control – </w:t>
            </w:r>
            <w:proofErr w:type="spellStart"/>
            <w:r>
              <w:rPr>
                <w:rFonts w:eastAsia="Calibri" w:cstheme="minorHAnsi"/>
                <w:b/>
                <w:bCs/>
              </w:rPr>
              <w:t>Elderly</w:t>
            </w:r>
            <w:proofErr w:type="spellEnd"/>
            <w:r>
              <w:rPr>
                <w:rFonts w:eastAsia="Calibri" w:cstheme="minorHAnsi"/>
                <w:b/>
                <w:bCs/>
              </w:rPr>
              <w:t xml:space="preserve"> – </w:t>
            </w:r>
            <w:proofErr w:type="spellStart"/>
            <w:r>
              <w:rPr>
                <w:rFonts w:eastAsia="Calibri" w:cstheme="minorHAnsi"/>
                <w:b/>
                <w:bCs/>
              </w:rPr>
              <w:t>Clinical</w:t>
            </w:r>
            <w:proofErr w:type="spellEnd"/>
            <w:r>
              <w:rPr>
                <w:rFonts w:eastAsia="Calibri" w:cstheme="minorHAnsi"/>
                <w:b/>
                <w:bCs/>
              </w:rPr>
              <w:t xml:space="preserve"> </w:t>
            </w:r>
            <w:proofErr w:type="spellStart"/>
            <w:r>
              <w:rPr>
                <w:rFonts w:eastAsia="Calibri" w:cstheme="minorHAnsi"/>
                <w:b/>
                <w:bCs/>
              </w:rPr>
              <w:t>Assessment</w:t>
            </w:r>
            <w:proofErr w:type="spellEnd"/>
            <w:r>
              <w:rPr>
                <w:rFonts w:eastAsia="Calibri" w:cstheme="minorHAnsi"/>
                <w:b/>
                <w:bCs/>
              </w:rPr>
              <w:t xml:space="preserve"> – </w:t>
            </w:r>
            <w:proofErr w:type="spellStart"/>
            <w:r>
              <w:rPr>
                <w:rFonts w:eastAsia="Calibri" w:cstheme="minorHAnsi"/>
                <w:b/>
                <w:bCs/>
              </w:rPr>
              <w:t>Fall</w:t>
            </w:r>
            <w:proofErr w:type="spellEnd"/>
            <w:r>
              <w:rPr>
                <w:rFonts w:eastAsia="Calibri" w:cstheme="minorHAnsi"/>
                <w:b/>
                <w:bCs/>
              </w:rPr>
              <w:t xml:space="preserve"> </w:t>
            </w:r>
            <w:proofErr w:type="spellStart"/>
            <w:r>
              <w:rPr>
                <w:rFonts w:eastAsia="Calibri" w:cstheme="minorHAnsi"/>
                <w:b/>
                <w:bCs/>
              </w:rPr>
              <w:t>prevention</w:t>
            </w:r>
            <w:proofErr w:type="spellEnd"/>
            <w:r>
              <w:rPr>
                <w:rFonts w:eastAsia="Calibri" w:cstheme="minorHAnsi"/>
                <w:b/>
                <w:bCs/>
              </w:rPr>
              <w:t xml:space="preserve"> – </w:t>
            </w:r>
            <w:proofErr w:type="spellStart"/>
            <w:r>
              <w:rPr>
                <w:rFonts w:eastAsia="Calibri" w:cstheme="minorHAnsi"/>
                <w:b/>
                <w:bCs/>
              </w:rPr>
              <w:t>Outcomes</w:t>
            </w:r>
            <w:proofErr w:type="spellEnd"/>
            <w:r>
              <w:rPr>
                <w:rFonts w:eastAsia="Calibri" w:cstheme="minorHAnsi"/>
                <w:b/>
                <w:bCs/>
              </w:rPr>
              <w:t xml:space="preserve"> </w:t>
            </w:r>
            <w:proofErr w:type="spellStart"/>
            <w:r>
              <w:rPr>
                <w:rFonts w:eastAsia="Calibri" w:cstheme="minorHAnsi"/>
                <w:b/>
                <w:bCs/>
              </w:rPr>
              <w:t>measures</w:t>
            </w:r>
            <w:proofErr w:type="spellEnd"/>
          </w:p>
        </w:tc>
      </w:tr>
      <w:tr w:rsidR="007F1BD7" w14:paraId="6B363157" w14:textId="77777777" w:rsidTr="007F1BD7">
        <w:tc>
          <w:tcPr>
            <w:tcW w:w="9060" w:type="dxa"/>
            <w:shd w:val="clear" w:color="auto" w:fill="9CC2E5" w:themeFill="accent1" w:themeFillTint="99"/>
          </w:tcPr>
          <w:p w14:paraId="6CE368BE" w14:textId="77777777" w:rsidR="007F1BD7" w:rsidRPr="007F1BD7" w:rsidRDefault="007F1BD7" w:rsidP="007F1BD7">
            <w:pPr>
              <w:jc w:val="center"/>
              <w:rPr>
                <w:rFonts w:eastAsia="Calibri" w:cstheme="minorHAnsi"/>
                <w:b/>
                <w:bCs/>
              </w:rPr>
            </w:pPr>
            <w:r>
              <w:rPr>
                <w:rFonts w:eastAsia="Calibri" w:cstheme="minorHAnsi"/>
                <w:b/>
                <w:bCs/>
              </w:rPr>
              <w:t>RESUME</w:t>
            </w:r>
          </w:p>
        </w:tc>
      </w:tr>
      <w:tr w:rsidR="007F1BD7" w14:paraId="361B6050" w14:textId="77777777" w:rsidTr="007F1BD7">
        <w:tc>
          <w:tcPr>
            <w:tcW w:w="9060" w:type="dxa"/>
          </w:tcPr>
          <w:p w14:paraId="19738045" w14:textId="77777777" w:rsidR="007F1BD7" w:rsidRDefault="007F1BD7" w:rsidP="007F1BD7">
            <w:pPr>
              <w:pStyle w:val="NormalWeb"/>
              <w:contextualSpacing/>
              <w:jc w:val="both"/>
              <w:rPr>
                <w:rStyle w:val="citation-100"/>
                <w:rFonts w:asciiTheme="minorHAnsi" w:hAnsiTheme="minorHAnsi" w:cstheme="minorHAnsi"/>
                <w:b/>
                <w:bCs/>
                <w:sz w:val="22"/>
                <w:szCs w:val="22"/>
              </w:rPr>
            </w:pPr>
          </w:p>
          <w:p w14:paraId="190FBB3D" w14:textId="6B92452F" w:rsidR="007F1BD7" w:rsidRDefault="007F1BD7" w:rsidP="007F1BD7">
            <w:pPr>
              <w:pStyle w:val="NormalWeb"/>
              <w:contextualSpacing/>
              <w:jc w:val="both"/>
              <w:rPr>
                <w:rFonts w:asciiTheme="minorHAnsi" w:hAnsiTheme="minorHAnsi" w:cstheme="minorHAnsi"/>
                <w:sz w:val="22"/>
                <w:szCs w:val="22"/>
              </w:rPr>
            </w:pPr>
            <w:r w:rsidRPr="007A58D9">
              <w:rPr>
                <w:rStyle w:val="citation-100"/>
                <w:rFonts w:asciiTheme="minorHAnsi" w:hAnsiTheme="minorHAnsi" w:cstheme="minorHAnsi"/>
                <w:b/>
                <w:bCs/>
                <w:sz w:val="22"/>
                <w:szCs w:val="22"/>
              </w:rPr>
              <w:t>Introduction</w:t>
            </w:r>
            <w:r>
              <w:rPr>
                <w:rStyle w:val="citation-100"/>
                <w:rFonts w:asciiTheme="minorHAnsi" w:hAnsiTheme="minorHAnsi" w:cstheme="minorHAnsi"/>
                <w:b/>
                <w:bCs/>
                <w:sz w:val="22"/>
                <w:szCs w:val="22"/>
              </w:rPr>
              <w:t> </w:t>
            </w:r>
            <w:r w:rsidRPr="007A58D9">
              <w:rPr>
                <w:rStyle w:val="citation-100"/>
                <w:rFonts w:asciiTheme="minorHAnsi" w:hAnsiTheme="minorHAnsi" w:cstheme="minorHAnsi"/>
                <w:b/>
                <w:bCs/>
                <w:sz w:val="22"/>
                <w:szCs w:val="22"/>
              </w:rPr>
              <w:t>:</w:t>
            </w:r>
            <w:r w:rsidRPr="007A58D9">
              <w:rPr>
                <w:rStyle w:val="apple-converted-space"/>
                <w:rFonts w:asciiTheme="minorHAnsi" w:hAnsiTheme="minorHAnsi" w:cstheme="minorHAnsi"/>
                <w:sz w:val="22"/>
                <w:szCs w:val="22"/>
              </w:rPr>
              <w:t> </w:t>
            </w:r>
            <w:r w:rsidRPr="007A58D9">
              <w:rPr>
                <w:rStyle w:val="citation-100"/>
                <w:rFonts w:asciiTheme="minorHAnsi" w:hAnsiTheme="minorHAnsi" w:cstheme="minorHAnsi"/>
                <w:sz w:val="22"/>
                <w:szCs w:val="22"/>
              </w:rPr>
              <w:t xml:space="preserve">En </w:t>
            </w:r>
            <w:r>
              <w:rPr>
                <w:rStyle w:val="citation-100"/>
                <w:rFonts w:asciiTheme="minorHAnsi" w:hAnsiTheme="minorHAnsi" w:cstheme="minorHAnsi"/>
                <w:sz w:val="22"/>
                <w:szCs w:val="22"/>
              </w:rPr>
              <w:t>France</w:t>
            </w:r>
            <w:r w:rsidRPr="007A58D9">
              <w:rPr>
                <w:rStyle w:val="citation-100"/>
                <w:rFonts w:asciiTheme="minorHAnsi" w:hAnsiTheme="minorHAnsi" w:cstheme="minorHAnsi"/>
                <w:sz w:val="22"/>
                <w:szCs w:val="22"/>
              </w:rPr>
              <w:t>, les chutes sont la principale cause de traumatisme chez les seniors</w:t>
            </w:r>
            <w:r w:rsidRPr="007A58D9">
              <w:rPr>
                <w:rFonts w:asciiTheme="minorHAnsi"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9"/>
                <w:rFonts w:asciiTheme="minorHAnsi" w:hAnsiTheme="minorHAnsi" w:cstheme="minorHAnsi"/>
                <w:sz w:val="22"/>
                <w:szCs w:val="22"/>
              </w:rPr>
              <w:t>Le masseur-kinésithérapeute (MK) joue un rôle pivot dans le dépistage de ce risque via l</w:t>
            </w:r>
            <w:r>
              <w:rPr>
                <w:rStyle w:val="citation-99"/>
                <w:rFonts w:asciiTheme="minorHAnsi" w:hAnsiTheme="minorHAnsi" w:cstheme="minorHAnsi"/>
                <w:sz w:val="22"/>
                <w:szCs w:val="22"/>
              </w:rPr>
              <w:t>’</w:t>
            </w:r>
            <w:r w:rsidRPr="007A58D9">
              <w:rPr>
                <w:rStyle w:val="citation-99"/>
                <w:rFonts w:asciiTheme="minorHAnsi" w:hAnsiTheme="minorHAnsi" w:cstheme="minorHAnsi"/>
                <w:sz w:val="22"/>
                <w:szCs w:val="22"/>
              </w:rPr>
              <w:t>évaluation de l</w:t>
            </w:r>
            <w:r>
              <w:rPr>
                <w:rStyle w:val="citation-99"/>
                <w:rFonts w:asciiTheme="minorHAnsi" w:hAnsiTheme="minorHAnsi" w:cstheme="minorHAnsi"/>
                <w:sz w:val="22"/>
                <w:szCs w:val="22"/>
              </w:rPr>
              <w:t>’</w:t>
            </w:r>
            <w:r w:rsidRPr="007A58D9">
              <w:rPr>
                <w:rStyle w:val="citation-99"/>
                <w:rFonts w:asciiTheme="minorHAnsi" w:hAnsiTheme="minorHAnsi" w:cstheme="minorHAnsi"/>
                <w:sz w:val="22"/>
                <w:szCs w:val="22"/>
              </w:rPr>
              <w:t>équilibre</w:t>
            </w:r>
            <w:r w:rsidRPr="007A58D9">
              <w:rPr>
                <w:rFonts w:asciiTheme="minorHAnsi"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8"/>
                <w:rFonts w:asciiTheme="minorHAnsi" w:eastAsiaTheme="majorEastAsia" w:hAnsiTheme="minorHAnsi" w:cstheme="minorHAnsi"/>
                <w:sz w:val="22"/>
                <w:szCs w:val="22"/>
              </w:rPr>
              <w:t>Cette étude identifie les tests privilégiés par les MK français et les facteurs orientant leurs choix</w:t>
            </w:r>
            <w:r>
              <w:rPr>
                <w:rFonts w:asciiTheme="minorHAnsi" w:hAnsiTheme="minorHAnsi" w:cstheme="minorHAnsi"/>
                <w:sz w:val="22"/>
                <w:szCs w:val="22"/>
              </w:rPr>
              <w:t>.</w:t>
            </w:r>
          </w:p>
          <w:p w14:paraId="5B44D6AD" w14:textId="03391563" w:rsidR="007F1BD7" w:rsidRDefault="007F1BD7" w:rsidP="007F1BD7">
            <w:pPr>
              <w:pStyle w:val="NormalWeb"/>
              <w:contextualSpacing/>
              <w:jc w:val="both"/>
              <w:rPr>
                <w:rFonts w:asciiTheme="minorHAnsi" w:hAnsiTheme="minorHAnsi" w:cstheme="minorHAnsi"/>
                <w:sz w:val="22"/>
                <w:szCs w:val="22"/>
              </w:rPr>
            </w:pPr>
            <w:r w:rsidRPr="007A58D9">
              <w:rPr>
                <w:rStyle w:val="citation-97"/>
                <w:rFonts w:asciiTheme="minorHAnsi" w:eastAsiaTheme="majorEastAsia" w:hAnsiTheme="minorHAnsi" w:cstheme="minorHAnsi"/>
                <w:b/>
                <w:bCs/>
                <w:sz w:val="22"/>
                <w:szCs w:val="22"/>
              </w:rPr>
              <w:t>Matériel et méthodes</w:t>
            </w:r>
            <w:r>
              <w:rPr>
                <w:rStyle w:val="citation-97"/>
                <w:rFonts w:asciiTheme="minorHAnsi" w:eastAsiaTheme="majorEastAsia" w:hAnsiTheme="minorHAnsi" w:cstheme="minorHAnsi"/>
                <w:b/>
                <w:bCs/>
                <w:sz w:val="22"/>
                <w:szCs w:val="22"/>
              </w:rPr>
              <w:t> </w:t>
            </w:r>
            <w:r w:rsidRPr="007A58D9">
              <w:rPr>
                <w:rStyle w:val="citation-97"/>
                <w:rFonts w:asciiTheme="minorHAnsi" w:eastAsiaTheme="majorEastAsia" w:hAnsiTheme="minorHAnsi" w:cstheme="minorHAnsi"/>
                <w:b/>
                <w:bCs/>
                <w:sz w:val="22"/>
                <w:szCs w:val="22"/>
              </w:rPr>
              <w:t>:</w:t>
            </w:r>
            <w:r w:rsidRPr="007A58D9">
              <w:rPr>
                <w:rStyle w:val="apple-converted-space"/>
                <w:rFonts w:asciiTheme="minorHAnsi" w:hAnsiTheme="minorHAnsi" w:cstheme="minorHAnsi"/>
                <w:sz w:val="22"/>
                <w:szCs w:val="22"/>
              </w:rPr>
              <w:t> </w:t>
            </w:r>
            <w:r w:rsidRPr="007A58D9">
              <w:rPr>
                <w:rStyle w:val="citation-97"/>
                <w:rFonts w:asciiTheme="minorHAnsi" w:eastAsiaTheme="majorEastAsia" w:hAnsiTheme="minorHAnsi" w:cstheme="minorHAnsi"/>
                <w:sz w:val="22"/>
                <w:szCs w:val="22"/>
              </w:rPr>
              <w:t>Une enquête quantitative par questionnaire a été menée en 2025 auprès de 37 MK</w:t>
            </w:r>
            <w:r w:rsidRPr="007A58D9">
              <w:rPr>
                <w:rFonts w:asciiTheme="minorHAnsi"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6"/>
                <w:rFonts w:asciiTheme="minorHAnsi" w:eastAsiaTheme="majorEastAsia" w:hAnsiTheme="minorHAnsi" w:cstheme="minorHAnsi"/>
                <w:sz w:val="22"/>
                <w:szCs w:val="22"/>
              </w:rPr>
              <w:t>L</w:t>
            </w:r>
            <w:r>
              <w:rPr>
                <w:rStyle w:val="citation-96"/>
                <w:rFonts w:asciiTheme="minorHAnsi" w:eastAsiaTheme="majorEastAsia" w:hAnsiTheme="minorHAnsi" w:cstheme="minorHAnsi"/>
                <w:sz w:val="22"/>
                <w:szCs w:val="22"/>
              </w:rPr>
              <w:t>’</w:t>
            </w:r>
            <w:r w:rsidRPr="007A58D9">
              <w:rPr>
                <w:rStyle w:val="citation-96"/>
                <w:rFonts w:asciiTheme="minorHAnsi" w:eastAsiaTheme="majorEastAsia" w:hAnsiTheme="minorHAnsi" w:cstheme="minorHAnsi"/>
                <w:sz w:val="22"/>
                <w:szCs w:val="22"/>
              </w:rPr>
              <w:t>étude a analysé leurs habitudes cliniques, le temps alloué à l</w:t>
            </w:r>
            <w:r>
              <w:rPr>
                <w:rStyle w:val="citation-96"/>
                <w:rFonts w:asciiTheme="minorHAnsi" w:eastAsiaTheme="majorEastAsia" w:hAnsiTheme="minorHAnsi" w:cstheme="minorHAnsi"/>
                <w:sz w:val="22"/>
                <w:szCs w:val="22"/>
              </w:rPr>
              <w:t>’</w:t>
            </w:r>
            <w:r w:rsidRPr="007A58D9">
              <w:rPr>
                <w:rStyle w:val="citation-96"/>
                <w:rFonts w:asciiTheme="minorHAnsi" w:eastAsiaTheme="majorEastAsia" w:hAnsiTheme="minorHAnsi" w:cstheme="minorHAnsi"/>
                <w:sz w:val="22"/>
                <w:szCs w:val="22"/>
              </w:rPr>
              <w:t xml:space="preserve">évaluation et leur connaissance des modèles théoriques comme celui de </w:t>
            </w:r>
            <w:proofErr w:type="spellStart"/>
            <w:r w:rsidRPr="007A58D9">
              <w:rPr>
                <w:rStyle w:val="citation-96"/>
                <w:rFonts w:asciiTheme="minorHAnsi" w:eastAsiaTheme="majorEastAsia" w:hAnsiTheme="minorHAnsi" w:cstheme="minorHAnsi"/>
                <w:sz w:val="22"/>
                <w:szCs w:val="22"/>
              </w:rPr>
              <w:t>Horak</w:t>
            </w:r>
            <w:proofErr w:type="spellEnd"/>
            <w:r>
              <w:t>.</w:t>
            </w:r>
            <w:r w:rsidRPr="007A58D9">
              <w:rPr>
                <w:rFonts w:asciiTheme="minorHAnsi" w:hAnsiTheme="minorHAnsi" w:cstheme="minorHAnsi"/>
                <w:sz w:val="22"/>
                <w:szCs w:val="22"/>
              </w:rPr>
              <w:t xml:space="preserve"> </w:t>
            </w:r>
          </w:p>
          <w:p w14:paraId="7F16B081" w14:textId="095A9D1A" w:rsidR="007F1BD7" w:rsidRDefault="007F1BD7" w:rsidP="007F1BD7">
            <w:pPr>
              <w:pStyle w:val="NormalWeb"/>
              <w:contextualSpacing/>
              <w:jc w:val="both"/>
              <w:rPr>
                <w:rFonts w:asciiTheme="minorHAnsi" w:hAnsiTheme="minorHAnsi" w:cstheme="minorHAnsi"/>
                <w:sz w:val="22"/>
                <w:szCs w:val="22"/>
              </w:rPr>
            </w:pPr>
            <w:r w:rsidRPr="007A58D9">
              <w:rPr>
                <w:rStyle w:val="citation-95"/>
                <w:rFonts w:asciiTheme="minorHAnsi" w:eastAsiaTheme="majorEastAsia" w:hAnsiTheme="minorHAnsi" w:cstheme="minorHAnsi"/>
                <w:b/>
                <w:bCs/>
                <w:sz w:val="22"/>
                <w:szCs w:val="22"/>
              </w:rPr>
              <w:t>Résultats</w:t>
            </w:r>
            <w:r>
              <w:rPr>
                <w:rStyle w:val="citation-95"/>
                <w:rFonts w:asciiTheme="minorHAnsi" w:eastAsiaTheme="majorEastAsia" w:hAnsiTheme="minorHAnsi" w:cstheme="minorHAnsi"/>
                <w:b/>
                <w:bCs/>
                <w:sz w:val="22"/>
                <w:szCs w:val="22"/>
              </w:rPr>
              <w:t> </w:t>
            </w:r>
            <w:r w:rsidRPr="007A58D9">
              <w:rPr>
                <w:rStyle w:val="citation-95"/>
                <w:rFonts w:asciiTheme="minorHAnsi" w:eastAsiaTheme="majorEastAsia" w:hAnsiTheme="minorHAnsi" w:cstheme="minorHAnsi"/>
                <w:b/>
                <w:bCs/>
                <w:sz w:val="22"/>
                <w:szCs w:val="22"/>
              </w:rPr>
              <w:t>:</w:t>
            </w:r>
            <w:r w:rsidRPr="007A58D9">
              <w:rPr>
                <w:rStyle w:val="apple-converted-space"/>
                <w:rFonts w:asciiTheme="minorHAnsi" w:hAnsiTheme="minorHAnsi" w:cstheme="minorHAnsi"/>
                <w:sz w:val="22"/>
                <w:szCs w:val="22"/>
              </w:rPr>
              <w:t> </w:t>
            </w:r>
            <w:r w:rsidRPr="007A58D9">
              <w:rPr>
                <w:rStyle w:val="citation-95"/>
                <w:rFonts w:asciiTheme="minorHAnsi" w:eastAsiaTheme="majorEastAsia" w:hAnsiTheme="minorHAnsi" w:cstheme="minorHAnsi"/>
                <w:sz w:val="22"/>
                <w:szCs w:val="22"/>
              </w:rPr>
              <w:t>L’évaluation est fréquente mais rapide</w:t>
            </w:r>
            <w:r>
              <w:rPr>
                <w:rStyle w:val="citation-95"/>
                <w:rFonts w:asciiTheme="minorHAnsi" w:eastAsiaTheme="majorEastAsia" w:hAnsiTheme="minorHAnsi" w:cstheme="minorHAnsi"/>
                <w:sz w:val="22"/>
                <w:szCs w:val="22"/>
              </w:rPr>
              <w:t> </w:t>
            </w:r>
            <w:r w:rsidRPr="007A58D9">
              <w:rPr>
                <w:rStyle w:val="citation-95"/>
                <w:rFonts w:asciiTheme="minorHAnsi" w:eastAsiaTheme="majorEastAsia" w:hAnsiTheme="minorHAnsi" w:cstheme="minorHAnsi"/>
                <w:sz w:val="22"/>
                <w:szCs w:val="22"/>
              </w:rPr>
              <w:t>: 59,5 % des praticiens y consacrent moins de 10 minutes</w:t>
            </w:r>
            <w:r w:rsidRPr="007A58D9">
              <w:rPr>
                <w:rFonts w:asciiTheme="minorHAnsi"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4"/>
                <w:rFonts w:asciiTheme="minorHAnsi" w:eastAsiaTheme="majorEastAsia" w:hAnsiTheme="minorHAnsi" w:cstheme="minorHAnsi"/>
                <w:sz w:val="22"/>
                <w:szCs w:val="22"/>
              </w:rPr>
              <w:t>Le</w:t>
            </w:r>
            <w:r w:rsidRPr="007A58D9">
              <w:rPr>
                <w:rStyle w:val="apple-converted-space"/>
                <w:rFonts w:asciiTheme="minorHAnsi" w:hAnsiTheme="minorHAnsi" w:cstheme="minorHAnsi"/>
                <w:sz w:val="22"/>
                <w:szCs w:val="22"/>
              </w:rPr>
              <w:t> </w:t>
            </w:r>
            <w:r w:rsidRPr="007A58D9">
              <w:rPr>
                <w:rStyle w:val="citation-94"/>
                <w:rFonts w:asciiTheme="minorHAnsi" w:eastAsiaTheme="majorEastAsia" w:hAnsiTheme="minorHAnsi" w:cstheme="minorHAnsi"/>
                <w:b/>
                <w:bCs/>
                <w:sz w:val="22"/>
                <w:szCs w:val="22"/>
              </w:rPr>
              <w:t>test d’appui unipodal</w:t>
            </w:r>
            <w:r w:rsidRPr="007A58D9">
              <w:rPr>
                <w:rStyle w:val="apple-converted-space"/>
                <w:rFonts w:asciiTheme="minorHAnsi" w:hAnsiTheme="minorHAnsi" w:cstheme="minorHAnsi"/>
                <w:sz w:val="22"/>
                <w:szCs w:val="22"/>
              </w:rPr>
              <w:t> </w:t>
            </w:r>
            <w:r w:rsidRPr="007A58D9">
              <w:rPr>
                <w:rStyle w:val="citation-94"/>
                <w:rFonts w:asciiTheme="minorHAnsi" w:eastAsiaTheme="majorEastAsia" w:hAnsiTheme="minorHAnsi" w:cstheme="minorHAnsi"/>
                <w:sz w:val="22"/>
                <w:szCs w:val="22"/>
              </w:rPr>
              <w:t>est l’outil de référence (55,3 % d’usage systématique), tandis que les tests plus complets (</w:t>
            </w:r>
            <w:proofErr w:type="spellStart"/>
            <w:r w:rsidRPr="007A58D9">
              <w:rPr>
                <w:rStyle w:val="citation-94"/>
                <w:rFonts w:asciiTheme="minorHAnsi" w:eastAsiaTheme="majorEastAsia" w:hAnsiTheme="minorHAnsi" w:cstheme="minorHAnsi"/>
                <w:i/>
                <w:iCs/>
                <w:sz w:val="22"/>
                <w:szCs w:val="22"/>
              </w:rPr>
              <w:t>BESTest</w:t>
            </w:r>
            <w:proofErr w:type="spellEnd"/>
            <w:r w:rsidRPr="007A58D9">
              <w:rPr>
                <w:rStyle w:val="citation-94"/>
                <w:rFonts w:asciiTheme="minorHAnsi" w:eastAsiaTheme="majorEastAsia"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4"/>
                <w:rFonts w:asciiTheme="minorHAnsi" w:eastAsiaTheme="majorEastAsia" w:hAnsiTheme="minorHAnsi" w:cstheme="minorHAnsi"/>
                <w:i/>
                <w:iCs/>
                <w:sz w:val="22"/>
                <w:szCs w:val="22"/>
              </w:rPr>
              <w:t>Mini-</w:t>
            </w:r>
            <w:proofErr w:type="spellStart"/>
            <w:r w:rsidRPr="007A58D9">
              <w:rPr>
                <w:rStyle w:val="citation-94"/>
                <w:rFonts w:asciiTheme="minorHAnsi" w:eastAsiaTheme="majorEastAsia" w:hAnsiTheme="minorHAnsi" w:cstheme="minorHAnsi"/>
                <w:i/>
                <w:iCs/>
                <w:sz w:val="22"/>
                <w:szCs w:val="22"/>
              </w:rPr>
              <w:t>BESTest</w:t>
            </w:r>
            <w:proofErr w:type="spellEnd"/>
            <w:r w:rsidRPr="007A58D9">
              <w:rPr>
                <w:rStyle w:val="citation-94"/>
                <w:rFonts w:asciiTheme="minorHAnsi" w:eastAsiaTheme="majorEastAsia" w:hAnsiTheme="minorHAnsi" w:cstheme="minorHAnsi"/>
                <w:sz w:val="22"/>
                <w:szCs w:val="22"/>
              </w:rPr>
              <w:t>) sont méconnus par environ 40 % des répondants</w:t>
            </w:r>
            <w:r w:rsidRPr="007A58D9">
              <w:rPr>
                <w:rFonts w:asciiTheme="minorHAnsi"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3"/>
                <w:rFonts w:asciiTheme="minorHAnsi" w:eastAsiaTheme="majorEastAsia" w:hAnsiTheme="minorHAnsi" w:cstheme="minorHAnsi"/>
                <w:sz w:val="22"/>
                <w:szCs w:val="22"/>
              </w:rPr>
              <w:t>Le manque de temps (56,8 %) et le déficit de formation (43,2 %) sont les principaux freins à une évaluation exhaustive</w:t>
            </w:r>
            <w:r w:rsidRPr="007A58D9">
              <w:rPr>
                <w:rFonts w:asciiTheme="minorHAnsi" w:hAnsiTheme="minorHAnsi" w:cstheme="minorHAnsi"/>
                <w:sz w:val="22"/>
                <w:szCs w:val="22"/>
              </w:rPr>
              <w:t xml:space="preserve">.                                                                                     </w:t>
            </w:r>
          </w:p>
          <w:p w14:paraId="11C56F38" w14:textId="221E5BF5" w:rsidR="007F1BD7" w:rsidRDefault="007F1BD7" w:rsidP="007F1BD7">
            <w:pPr>
              <w:pStyle w:val="NormalWeb"/>
              <w:contextualSpacing/>
              <w:jc w:val="both"/>
              <w:rPr>
                <w:rFonts w:asciiTheme="minorHAnsi" w:hAnsiTheme="minorHAnsi" w:cstheme="minorHAnsi"/>
                <w:sz w:val="22"/>
                <w:szCs w:val="22"/>
              </w:rPr>
            </w:pPr>
            <w:r w:rsidRPr="007A58D9">
              <w:rPr>
                <w:rStyle w:val="citation-92"/>
                <w:rFonts w:asciiTheme="minorHAnsi" w:eastAsiaTheme="majorEastAsia" w:hAnsiTheme="minorHAnsi" w:cstheme="minorHAnsi"/>
                <w:b/>
                <w:bCs/>
                <w:sz w:val="22"/>
                <w:szCs w:val="22"/>
              </w:rPr>
              <w:t>Conclusion</w:t>
            </w:r>
            <w:r>
              <w:rPr>
                <w:rStyle w:val="citation-92"/>
                <w:rFonts w:asciiTheme="minorHAnsi" w:eastAsiaTheme="majorEastAsia" w:hAnsiTheme="minorHAnsi" w:cstheme="minorHAnsi"/>
                <w:b/>
                <w:bCs/>
                <w:sz w:val="22"/>
                <w:szCs w:val="22"/>
              </w:rPr>
              <w:t> </w:t>
            </w:r>
            <w:r w:rsidRPr="007A58D9">
              <w:rPr>
                <w:rStyle w:val="citation-92"/>
                <w:rFonts w:asciiTheme="minorHAnsi" w:eastAsiaTheme="majorEastAsia" w:hAnsiTheme="minorHAnsi" w:cstheme="minorHAnsi"/>
                <w:b/>
                <w:bCs/>
                <w:sz w:val="22"/>
                <w:szCs w:val="22"/>
              </w:rPr>
              <w:t>:</w:t>
            </w:r>
            <w:r w:rsidRPr="007A58D9">
              <w:rPr>
                <w:rStyle w:val="apple-converted-space"/>
                <w:rFonts w:asciiTheme="minorHAnsi" w:hAnsiTheme="minorHAnsi" w:cstheme="minorHAnsi"/>
                <w:sz w:val="22"/>
                <w:szCs w:val="22"/>
              </w:rPr>
              <w:t> </w:t>
            </w:r>
            <w:r w:rsidRPr="007A58D9">
              <w:rPr>
                <w:rStyle w:val="citation-92"/>
                <w:rFonts w:asciiTheme="minorHAnsi" w:eastAsiaTheme="majorEastAsia" w:hAnsiTheme="minorHAnsi" w:cstheme="minorHAnsi"/>
                <w:sz w:val="22"/>
                <w:szCs w:val="22"/>
              </w:rPr>
              <w:t>Les pratiques actuelles privilégient la rapidité au diagnostic différentiel des systèmes de l</w:t>
            </w:r>
            <w:r>
              <w:rPr>
                <w:rStyle w:val="citation-92"/>
                <w:rFonts w:asciiTheme="minorHAnsi" w:eastAsiaTheme="majorEastAsia" w:hAnsiTheme="minorHAnsi" w:cstheme="minorHAnsi"/>
                <w:sz w:val="22"/>
                <w:szCs w:val="22"/>
              </w:rPr>
              <w:t>’</w:t>
            </w:r>
            <w:r w:rsidRPr="007A58D9">
              <w:rPr>
                <w:rStyle w:val="citation-92"/>
                <w:rFonts w:asciiTheme="minorHAnsi" w:eastAsiaTheme="majorEastAsia" w:hAnsiTheme="minorHAnsi" w:cstheme="minorHAnsi"/>
                <w:sz w:val="22"/>
                <w:szCs w:val="22"/>
              </w:rPr>
              <w:t>équilibre</w:t>
            </w:r>
            <w:r w:rsidRPr="007A58D9">
              <w:rPr>
                <w:rFonts w:asciiTheme="minorHAnsi" w:hAnsiTheme="minorHAnsi" w:cstheme="minorHAnsi"/>
                <w:sz w:val="22"/>
                <w:szCs w:val="22"/>
              </w:rPr>
              <w:t>.</w:t>
            </w:r>
            <w:r w:rsidRPr="007A58D9">
              <w:rPr>
                <w:rStyle w:val="apple-converted-space"/>
                <w:rFonts w:asciiTheme="minorHAnsi" w:hAnsiTheme="minorHAnsi" w:cstheme="minorHAnsi"/>
                <w:sz w:val="22"/>
                <w:szCs w:val="22"/>
              </w:rPr>
              <w:t> </w:t>
            </w:r>
            <w:r w:rsidRPr="007A58D9">
              <w:rPr>
                <w:rStyle w:val="citation-91"/>
                <w:rFonts w:asciiTheme="minorHAnsi" w:eastAsiaTheme="majorEastAsia" w:hAnsiTheme="minorHAnsi" w:cstheme="minorHAnsi"/>
                <w:sz w:val="22"/>
                <w:szCs w:val="22"/>
              </w:rPr>
              <w:t xml:space="preserve">Malgré une méconnaissance du modèle de </w:t>
            </w:r>
            <w:proofErr w:type="spellStart"/>
            <w:r w:rsidRPr="007A58D9">
              <w:rPr>
                <w:rStyle w:val="citation-91"/>
                <w:rFonts w:asciiTheme="minorHAnsi" w:eastAsiaTheme="majorEastAsia" w:hAnsiTheme="minorHAnsi" w:cstheme="minorHAnsi"/>
                <w:sz w:val="22"/>
                <w:szCs w:val="22"/>
              </w:rPr>
              <w:t>Horak</w:t>
            </w:r>
            <w:proofErr w:type="spellEnd"/>
            <w:r w:rsidRPr="007A58D9">
              <w:rPr>
                <w:rStyle w:val="citation-91"/>
                <w:rFonts w:asciiTheme="minorHAnsi" w:eastAsiaTheme="majorEastAsia" w:hAnsiTheme="minorHAnsi" w:cstheme="minorHAnsi"/>
                <w:sz w:val="22"/>
                <w:szCs w:val="22"/>
              </w:rPr>
              <w:t xml:space="preserve"> (89,2 %), une forte appétence pour la formation (83,8 %) suggère un levier majeur pour optimiser la prévention des chutes</w:t>
            </w:r>
            <w:r w:rsidRPr="007A58D9">
              <w:rPr>
                <w:rFonts w:asciiTheme="minorHAnsi" w:hAnsiTheme="minorHAnsi" w:cstheme="minorHAnsi"/>
                <w:sz w:val="22"/>
                <w:szCs w:val="22"/>
              </w:rPr>
              <w:t>.</w:t>
            </w:r>
          </w:p>
          <w:p w14:paraId="1B26AF2F" w14:textId="063FD756" w:rsidR="007F1BD7" w:rsidRPr="007F1BD7" w:rsidRDefault="007F1BD7" w:rsidP="007F1BD7">
            <w:pPr>
              <w:pStyle w:val="NormalWeb"/>
              <w:contextualSpacing/>
              <w:jc w:val="both"/>
              <w:rPr>
                <w:rFonts w:asciiTheme="minorHAnsi" w:hAnsiTheme="minorHAnsi" w:cstheme="minorHAnsi"/>
                <w:sz w:val="22"/>
                <w:szCs w:val="22"/>
              </w:rPr>
            </w:pPr>
          </w:p>
        </w:tc>
      </w:tr>
      <w:tr w:rsidR="007F1BD7" w14:paraId="71DF2A0A" w14:textId="77777777" w:rsidTr="007F1BD7">
        <w:tc>
          <w:tcPr>
            <w:tcW w:w="9060" w:type="dxa"/>
          </w:tcPr>
          <w:p w14:paraId="534AA66B" w14:textId="0C97DC69" w:rsidR="007F1BD7" w:rsidRPr="007F1BD7" w:rsidRDefault="007F1BD7" w:rsidP="007F1BD7">
            <w:pPr>
              <w:jc w:val="both"/>
              <w:rPr>
                <w:rFonts w:eastAsia="Calibri" w:cstheme="minorHAnsi"/>
                <w:b/>
                <w:bCs/>
              </w:rPr>
            </w:pPr>
            <w:r>
              <w:rPr>
                <w:rFonts w:eastAsia="Calibri" w:cstheme="minorHAnsi"/>
                <w:b/>
                <w:bCs/>
              </w:rPr>
              <w:t>MOTS CL</w:t>
            </w:r>
            <w:r w:rsidR="00B93EA8">
              <w:rPr>
                <w:rFonts w:eastAsia="Calibri" w:cstheme="minorHAnsi"/>
                <w:b/>
                <w:bCs/>
              </w:rPr>
              <w:t>E</w:t>
            </w:r>
            <w:r>
              <w:rPr>
                <w:rFonts w:eastAsia="Calibri" w:cstheme="minorHAnsi"/>
                <w:b/>
                <w:bCs/>
              </w:rPr>
              <w:t xml:space="preserve">S : Contrôle postural – Personnes âgées – </w:t>
            </w:r>
            <w:r w:rsidR="00B93EA8">
              <w:rPr>
                <w:rFonts w:eastAsia="Calibri" w:cstheme="minorHAnsi"/>
                <w:b/>
                <w:bCs/>
              </w:rPr>
              <w:t>Évaluation</w:t>
            </w:r>
            <w:r>
              <w:rPr>
                <w:rFonts w:eastAsia="Calibri" w:cstheme="minorHAnsi"/>
                <w:b/>
                <w:bCs/>
              </w:rPr>
              <w:t xml:space="preserve"> Clinique – Prévention des chutes – Outils d’évaluation </w:t>
            </w:r>
          </w:p>
        </w:tc>
      </w:tr>
      <w:tr w:rsidR="007F1BD7" w14:paraId="14575995" w14:textId="77777777" w:rsidTr="007F1BD7">
        <w:tc>
          <w:tcPr>
            <w:tcW w:w="9060" w:type="dxa"/>
          </w:tcPr>
          <w:p w14:paraId="52A6DAAE" w14:textId="77777777" w:rsidR="007F1BD7" w:rsidRDefault="007F1BD7" w:rsidP="007F1BD7">
            <w:pPr>
              <w:jc w:val="center"/>
              <w:rPr>
                <w:rFonts w:eastAsia="Calibri" w:cstheme="minorHAnsi"/>
              </w:rPr>
            </w:pPr>
          </w:p>
          <w:p w14:paraId="795CF6C3" w14:textId="0E2593E1" w:rsidR="007F1BD7" w:rsidRDefault="007F1BD7" w:rsidP="007F1BD7">
            <w:pPr>
              <w:jc w:val="center"/>
              <w:rPr>
                <w:rFonts w:eastAsia="Calibri" w:cstheme="minorHAnsi"/>
              </w:rPr>
            </w:pPr>
            <w:r>
              <w:rPr>
                <w:rFonts w:eastAsia="Calibri" w:cstheme="minorHAnsi"/>
              </w:rPr>
              <w:t xml:space="preserve">Institut de Formation en Masso-Kinésithérapie </w:t>
            </w:r>
          </w:p>
          <w:p w14:paraId="1FB1200A" w14:textId="549BC37D" w:rsidR="007F1BD7" w:rsidRDefault="007F1BD7" w:rsidP="007F1BD7">
            <w:pPr>
              <w:jc w:val="center"/>
              <w:rPr>
                <w:rFonts w:eastAsia="Calibri" w:cstheme="minorHAnsi"/>
              </w:rPr>
            </w:pPr>
            <w:r>
              <w:rPr>
                <w:rFonts w:eastAsia="Calibri" w:cstheme="minorHAnsi"/>
              </w:rPr>
              <w:t xml:space="preserve">17 Avenue Charles et Raymonde Tillon, 35000 Rennes </w:t>
            </w:r>
          </w:p>
          <w:p w14:paraId="6A8BBEDA" w14:textId="77777777" w:rsidR="007F1BD7" w:rsidRDefault="007F1BD7" w:rsidP="007F1BD7">
            <w:pPr>
              <w:jc w:val="center"/>
              <w:rPr>
                <w:rFonts w:eastAsia="Calibri" w:cstheme="minorHAnsi"/>
              </w:rPr>
            </w:pPr>
            <w:r>
              <w:rPr>
                <w:rFonts w:eastAsia="Calibri" w:cstheme="minorHAnsi"/>
              </w:rPr>
              <w:t>Mémoire d’Initiation à la Recherche en Masso-Kinésithérapie, 2022-2026</w:t>
            </w:r>
          </w:p>
          <w:p w14:paraId="195CB34D" w14:textId="1836F241" w:rsidR="007F1BD7" w:rsidRDefault="007F1BD7" w:rsidP="007F1BD7">
            <w:pPr>
              <w:jc w:val="center"/>
              <w:rPr>
                <w:rFonts w:eastAsia="Calibri" w:cstheme="minorHAnsi"/>
              </w:rPr>
            </w:pPr>
          </w:p>
        </w:tc>
      </w:tr>
    </w:tbl>
    <w:p w14:paraId="45C7ACF4" w14:textId="77777777" w:rsidR="007A58D9" w:rsidRPr="007F1BD7" w:rsidRDefault="007A58D9">
      <w:pPr>
        <w:rPr>
          <w:rFonts w:eastAsia="Calibri" w:cstheme="minorHAnsi"/>
          <w:b/>
          <w:bCs/>
          <w:color w:val="5B9BD5" w:themeColor="accent1"/>
          <w:sz w:val="28"/>
          <w:szCs w:val="28"/>
        </w:rPr>
      </w:pPr>
    </w:p>
    <w:p w14:paraId="21C42B75" w14:textId="5D4685CA" w:rsidR="007A58D9" w:rsidRPr="007A58D9" w:rsidRDefault="007A58D9" w:rsidP="007A58D9">
      <w:pPr>
        <w:spacing w:line="360" w:lineRule="auto"/>
        <w:jc w:val="both"/>
        <w:rPr>
          <w:rFonts w:eastAsia="Calibri" w:cstheme="minorHAnsi"/>
        </w:rPr>
      </w:pPr>
      <w:r w:rsidRPr="007A58D9">
        <w:rPr>
          <w:rFonts w:eastAsia="Calibri" w:cstheme="minorHAnsi"/>
        </w:rPr>
        <w:br w:type="page"/>
      </w:r>
    </w:p>
    <w:p w14:paraId="6C53083A" w14:textId="1C0935C9" w:rsidR="007A58D9" w:rsidRDefault="007A58D9" w:rsidP="008713FA">
      <w:pPr>
        <w:spacing w:after="200" w:line="360" w:lineRule="auto"/>
        <w:jc w:val="center"/>
        <w:rPr>
          <w:rFonts w:eastAsia="Calibri" w:cstheme="minorHAnsi"/>
          <w:b/>
          <w:bCs/>
          <w:sz w:val="28"/>
          <w:szCs w:val="28"/>
        </w:rPr>
      </w:pPr>
      <w:r>
        <w:rPr>
          <w:rFonts w:eastAsia="Calibri" w:cstheme="minorHAnsi"/>
          <w:b/>
          <w:bCs/>
          <w:sz w:val="28"/>
          <w:szCs w:val="28"/>
        </w:rPr>
        <w:lastRenderedPageBreak/>
        <w:t>Remerciements</w:t>
      </w:r>
    </w:p>
    <w:p w14:paraId="32159FB4" w14:textId="77777777" w:rsidR="007A58D9" w:rsidRDefault="007A58D9" w:rsidP="008713FA">
      <w:pPr>
        <w:spacing w:after="200" w:line="360" w:lineRule="auto"/>
        <w:jc w:val="center"/>
        <w:rPr>
          <w:rFonts w:eastAsia="Calibri" w:cstheme="minorHAnsi"/>
          <w:b/>
          <w:bCs/>
          <w:sz w:val="28"/>
          <w:szCs w:val="28"/>
        </w:rPr>
      </w:pPr>
    </w:p>
    <w:p w14:paraId="598CF58E" w14:textId="154F8BDF" w:rsidR="007A58D9" w:rsidRPr="007A58D9" w:rsidRDefault="007A58D9" w:rsidP="007A58D9">
      <w:pPr>
        <w:pStyle w:val="NormalWeb"/>
        <w:spacing w:line="360" w:lineRule="auto"/>
        <w:jc w:val="both"/>
        <w:rPr>
          <w:rFonts w:asciiTheme="minorHAnsi" w:hAnsiTheme="minorHAnsi" w:cstheme="minorHAnsi"/>
          <w:color w:val="000000"/>
          <w:sz w:val="22"/>
          <w:szCs w:val="22"/>
        </w:rPr>
      </w:pPr>
      <w:r>
        <w:rPr>
          <w:rStyle w:val="citation-42"/>
          <w:rFonts w:asciiTheme="minorHAnsi" w:hAnsiTheme="minorHAnsi" w:cstheme="minorHAnsi"/>
          <w:color w:val="000000"/>
          <w:sz w:val="22"/>
          <w:szCs w:val="22"/>
        </w:rPr>
        <w:tab/>
      </w:r>
      <w:r w:rsidRPr="007A58D9">
        <w:rPr>
          <w:rStyle w:val="citation-42"/>
          <w:rFonts w:asciiTheme="minorHAnsi" w:hAnsiTheme="minorHAnsi" w:cstheme="minorHAnsi"/>
          <w:color w:val="000000"/>
          <w:sz w:val="22"/>
          <w:szCs w:val="22"/>
        </w:rPr>
        <w:t xml:space="preserve">Arrivé au terme de ce travail de recherche sur l’évaluation de l’équilibre chez les </w:t>
      </w:r>
      <w:r>
        <w:rPr>
          <w:rStyle w:val="citation-42"/>
          <w:rFonts w:asciiTheme="minorHAnsi" w:hAnsiTheme="minorHAnsi" w:cstheme="minorHAnsi"/>
          <w:color w:val="000000"/>
          <w:sz w:val="22"/>
          <w:szCs w:val="22"/>
        </w:rPr>
        <w:t>personnes âgées</w:t>
      </w:r>
      <w:r w:rsidRPr="007A58D9">
        <w:rPr>
          <w:rStyle w:val="citation-42"/>
          <w:rFonts w:asciiTheme="minorHAnsi" w:hAnsiTheme="minorHAnsi" w:cstheme="minorHAnsi"/>
          <w:color w:val="000000"/>
          <w:sz w:val="22"/>
          <w:szCs w:val="22"/>
        </w:rPr>
        <w:t>, je tiens à remercier toutes les personnes qui m'ont accompagné dans cette démarche</w:t>
      </w:r>
      <w:r w:rsidRPr="007A58D9">
        <w:rPr>
          <w:rFonts w:asciiTheme="minorHAnsi" w:hAnsiTheme="minorHAnsi" w:cstheme="minorHAnsi"/>
          <w:color w:val="000000"/>
          <w:sz w:val="22"/>
          <w:szCs w:val="22"/>
        </w:rPr>
        <w:t>.</w:t>
      </w:r>
    </w:p>
    <w:p w14:paraId="0FB540D9" w14:textId="7D652A8E" w:rsidR="007A58D9" w:rsidRPr="007A58D9" w:rsidRDefault="007A58D9" w:rsidP="007A58D9">
      <w:pPr>
        <w:pStyle w:val="NormalWeb"/>
        <w:spacing w:line="360" w:lineRule="auto"/>
        <w:jc w:val="both"/>
        <w:rPr>
          <w:rFonts w:asciiTheme="minorHAnsi" w:hAnsiTheme="minorHAnsi" w:cstheme="minorHAnsi"/>
          <w:color w:val="000000"/>
          <w:sz w:val="22"/>
          <w:szCs w:val="22"/>
        </w:rPr>
      </w:pPr>
      <w:r w:rsidRPr="007A58D9">
        <w:rPr>
          <w:rStyle w:val="citation-41"/>
          <w:rFonts w:asciiTheme="minorHAnsi" w:hAnsiTheme="minorHAnsi" w:cstheme="minorHAnsi"/>
          <w:color w:val="000000"/>
          <w:sz w:val="22"/>
          <w:szCs w:val="22"/>
        </w:rPr>
        <w:t>Je remercie tout d’abord</w:t>
      </w:r>
      <w:r>
        <w:rPr>
          <w:rStyle w:val="citation-41"/>
          <w:rFonts w:asciiTheme="minorHAnsi" w:hAnsiTheme="minorHAnsi" w:cstheme="minorHAnsi"/>
          <w:color w:val="000000"/>
          <w:sz w:val="22"/>
          <w:szCs w:val="22"/>
        </w:rPr>
        <w:t xml:space="preserve"> ma directrice de mémoire,</w:t>
      </w:r>
      <w:r w:rsidRPr="007A58D9">
        <w:rPr>
          <w:rStyle w:val="apple-converted-space"/>
          <w:rFonts w:asciiTheme="minorHAnsi" w:hAnsiTheme="minorHAnsi" w:cstheme="minorHAnsi"/>
          <w:color w:val="000000"/>
          <w:sz w:val="22"/>
          <w:szCs w:val="22"/>
        </w:rPr>
        <w:t> </w:t>
      </w:r>
      <w:r w:rsidRPr="007A58D9">
        <w:rPr>
          <w:rStyle w:val="citation-41"/>
          <w:rFonts w:asciiTheme="minorHAnsi" w:hAnsiTheme="minorHAnsi" w:cstheme="minorHAnsi"/>
          <w:b/>
          <w:bCs/>
          <w:color w:val="000000"/>
          <w:sz w:val="22"/>
          <w:szCs w:val="22"/>
        </w:rPr>
        <w:t>Nathalie BONARDET</w:t>
      </w:r>
      <w:r w:rsidRPr="007A58D9">
        <w:rPr>
          <w:rFonts w:asciiTheme="minorHAnsi" w:hAnsiTheme="minorHAnsi" w:cstheme="minorHAnsi"/>
          <w:color w:val="000000"/>
          <w:sz w:val="22"/>
          <w:szCs w:val="22"/>
        </w:rPr>
        <w:t>.</w:t>
      </w:r>
      <w:r w:rsidRPr="007A58D9">
        <w:rPr>
          <w:rStyle w:val="apple-converted-space"/>
          <w:rFonts w:asciiTheme="minorHAnsi" w:hAnsiTheme="minorHAnsi" w:cstheme="minorHAnsi"/>
          <w:color w:val="000000"/>
          <w:sz w:val="22"/>
          <w:szCs w:val="22"/>
        </w:rPr>
        <w:t> </w:t>
      </w:r>
      <w:r w:rsidRPr="007A58D9">
        <w:rPr>
          <w:rStyle w:val="citation-40"/>
          <w:rFonts w:asciiTheme="minorHAnsi" w:hAnsiTheme="minorHAnsi" w:cstheme="minorHAnsi"/>
          <w:color w:val="000000"/>
          <w:sz w:val="22"/>
          <w:szCs w:val="22"/>
        </w:rPr>
        <w:t>Ses conseils, sa patience et son expertise m'ont permis de transformer une simple interrogation sur nos pratiques en un véritable projet de recherche</w:t>
      </w:r>
      <w:r w:rsidRPr="007A58D9">
        <w:rPr>
          <w:rFonts w:asciiTheme="minorHAnsi" w:hAnsiTheme="minorHAnsi" w:cstheme="minorHAnsi"/>
          <w:color w:val="000000"/>
          <w:sz w:val="22"/>
          <w:szCs w:val="22"/>
        </w:rPr>
        <w:t>.</w:t>
      </w:r>
    </w:p>
    <w:p w14:paraId="37858CC4" w14:textId="01FCD9B3" w:rsidR="007A58D9" w:rsidRPr="007A58D9" w:rsidRDefault="007A58D9" w:rsidP="007A58D9">
      <w:pPr>
        <w:pStyle w:val="NormalWeb"/>
        <w:spacing w:line="360" w:lineRule="auto"/>
        <w:jc w:val="both"/>
        <w:rPr>
          <w:rFonts w:asciiTheme="minorHAnsi" w:hAnsiTheme="minorHAnsi" w:cstheme="minorHAnsi"/>
          <w:color w:val="000000"/>
          <w:sz w:val="22"/>
          <w:szCs w:val="22"/>
        </w:rPr>
      </w:pPr>
      <w:r w:rsidRPr="007A58D9">
        <w:rPr>
          <w:rStyle w:val="citation-39"/>
          <w:rFonts w:asciiTheme="minorHAnsi" w:hAnsiTheme="minorHAnsi" w:cstheme="minorHAnsi"/>
          <w:color w:val="000000"/>
          <w:sz w:val="22"/>
          <w:szCs w:val="22"/>
        </w:rPr>
        <w:t>Mes remerciements vont également aux</w:t>
      </w:r>
      <w:r w:rsidRPr="007A58D9">
        <w:rPr>
          <w:rStyle w:val="apple-converted-space"/>
          <w:rFonts w:asciiTheme="minorHAnsi" w:hAnsiTheme="minorHAnsi" w:cstheme="minorHAnsi"/>
          <w:color w:val="000000"/>
          <w:sz w:val="22"/>
          <w:szCs w:val="22"/>
        </w:rPr>
        <w:t> </w:t>
      </w:r>
      <w:r w:rsidRPr="007A58D9">
        <w:rPr>
          <w:rStyle w:val="citation-39"/>
          <w:rFonts w:asciiTheme="minorHAnsi" w:hAnsiTheme="minorHAnsi" w:cstheme="minorHAnsi"/>
          <w:b/>
          <w:bCs/>
          <w:color w:val="000000"/>
          <w:sz w:val="22"/>
          <w:szCs w:val="22"/>
        </w:rPr>
        <w:t>37 kinésithérapeutes</w:t>
      </w:r>
      <w:r w:rsidRPr="007A58D9">
        <w:rPr>
          <w:rStyle w:val="apple-converted-space"/>
          <w:rFonts w:asciiTheme="minorHAnsi" w:hAnsiTheme="minorHAnsi" w:cstheme="minorHAnsi"/>
          <w:color w:val="000000"/>
          <w:sz w:val="22"/>
          <w:szCs w:val="22"/>
        </w:rPr>
        <w:t> </w:t>
      </w:r>
      <w:r w:rsidRPr="007A58D9">
        <w:rPr>
          <w:rStyle w:val="citation-39"/>
          <w:rFonts w:asciiTheme="minorHAnsi" w:hAnsiTheme="minorHAnsi" w:cstheme="minorHAnsi"/>
          <w:color w:val="000000"/>
          <w:sz w:val="22"/>
          <w:szCs w:val="22"/>
        </w:rPr>
        <w:t>qui ont répondu à mon questionnaire</w:t>
      </w:r>
      <w:r w:rsidRPr="007A58D9">
        <w:rPr>
          <w:rFonts w:asciiTheme="minorHAnsi" w:hAnsiTheme="minorHAnsi" w:cstheme="minorHAnsi"/>
          <w:color w:val="000000"/>
          <w:sz w:val="22"/>
          <w:szCs w:val="22"/>
        </w:rPr>
        <w:t>.</w:t>
      </w:r>
      <w:r w:rsidRPr="007A58D9">
        <w:rPr>
          <w:rStyle w:val="apple-converted-space"/>
          <w:rFonts w:asciiTheme="minorHAnsi" w:hAnsiTheme="minorHAnsi" w:cstheme="minorHAnsi"/>
          <w:color w:val="000000"/>
          <w:sz w:val="22"/>
          <w:szCs w:val="22"/>
        </w:rPr>
        <w:t> </w:t>
      </w:r>
      <w:r w:rsidRPr="007A58D9">
        <w:rPr>
          <w:rStyle w:val="citation-38"/>
          <w:rFonts w:asciiTheme="minorHAnsi" w:eastAsiaTheme="majorEastAsia" w:hAnsiTheme="minorHAnsi" w:cstheme="minorHAnsi"/>
          <w:color w:val="000000"/>
          <w:sz w:val="22"/>
          <w:szCs w:val="22"/>
        </w:rPr>
        <w:t xml:space="preserve">Dans un quotidien professionnel où le manque de temps est un défi </w:t>
      </w:r>
      <w:r w:rsidRPr="007A58D9">
        <w:rPr>
          <w:rStyle w:val="citation-38"/>
          <w:rFonts w:asciiTheme="minorHAnsi" w:eastAsiaTheme="majorEastAsia" w:hAnsiTheme="minorHAnsi" w:cstheme="minorHAnsi"/>
          <w:color w:val="000000"/>
          <w:sz w:val="22"/>
          <w:szCs w:val="22"/>
        </w:rPr>
        <w:t>permanent</w:t>
      </w:r>
      <w:r>
        <w:rPr>
          <w:rStyle w:val="citation-38"/>
          <w:rFonts w:asciiTheme="minorHAnsi" w:eastAsiaTheme="majorEastAsia" w:hAnsiTheme="minorHAnsi" w:cstheme="minorHAnsi"/>
          <w:color w:val="000000"/>
          <w:sz w:val="22"/>
          <w:szCs w:val="22"/>
        </w:rPr>
        <w:t>,</w:t>
      </w:r>
      <w:r w:rsidRPr="007A58D9">
        <w:rPr>
          <w:rStyle w:val="citation-38"/>
          <w:rFonts w:asciiTheme="minorHAnsi" w:eastAsiaTheme="majorEastAsia" w:hAnsiTheme="minorHAnsi" w:cstheme="minorHAnsi"/>
          <w:color w:val="000000"/>
          <w:sz w:val="22"/>
          <w:szCs w:val="22"/>
        </w:rPr>
        <w:t xml:space="preserve"> comme</w:t>
      </w:r>
      <w:r w:rsidRPr="007A58D9">
        <w:rPr>
          <w:rStyle w:val="citation-38"/>
          <w:rFonts w:asciiTheme="minorHAnsi" w:eastAsiaTheme="majorEastAsia" w:hAnsiTheme="minorHAnsi" w:cstheme="minorHAnsi"/>
          <w:color w:val="000000"/>
          <w:sz w:val="22"/>
          <w:szCs w:val="22"/>
        </w:rPr>
        <w:t xml:space="preserve"> le souligne d'ailleurs cette étude</w:t>
      </w:r>
      <w:r>
        <w:rPr>
          <w:rStyle w:val="citation-38"/>
          <w:rFonts w:asciiTheme="minorHAnsi" w:eastAsiaTheme="majorEastAsia" w:hAnsiTheme="minorHAnsi" w:cstheme="minorHAnsi"/>
          <w:color w:val="000000"/>
          <w:sz w:val="22"/>
          <w:szCs w:val="22"/>
        </w:rPr>
        <w:t xml:space="preserve">, </w:t>
      </w:r>
      <w:r w:rsidRPr="007A58D9">
        <w:rPr>
          <w:rStyle w:val="citation-38"/>
          <w:rFonts w:asciiTheme="minorHAnsi" w:eastAsiaTheme="majorEastAsia" w:hAnsiTheme="minorHAnsi" w:cstheme="minorHAnsi"/>
          <w:color w:val="000000"/>
          <w:sz w:val="22"/>
          <w:szCs w:val="22"/>
        </w:rPr>
        <w:t>votre participation a été essentielle pour ancrer ce travail dans la réalité du terrain</w:t>
      </w:r>
      <w:r w:rsidRPr="007A58D9">
        <w:rPr>
          <w:rFonts w:asciiTheme="minorHAnsi" w:hAnsiTheme="minorHAnsi" w:cstheme="minorHAnsi"/>
          <w:color w:val="000000"/>
          <w:sz w:val="22"/>
          <w:szCs w:val="22"/>
        </w:rPr>
        <w:t>.</w:t>
      </w:r>
      <w:r>
        <w:rPr>
          <w:rFonts w:asciiTheme="minorHAnsi" w:hAnsiTheme="minorHAnsi" w:cstheme="minorHAnsi"/>
          <w:color w:val="000000"/>
          <w:sz w:val="22"/>
          <w:szCs w:val="22"/>
        </w:rPr>
        <w:t xml:space="preserve"> Je tiens à également à remercier toutes les personnes qui ont participé à la diffusion de mon questionnaire.</w:t>
      </w:r>
    </w:p>
    <w:p w14:paraId="1975FD11" w14:textId="77777777" w:rsidR="007A58D9" w:rsidRPr="007A58D9" w:rsidRDefault="007A58D9" w:rsidP="007A58D9">
      <w:pPr>
        <w:pStyle w:val="NormalWeb"/>
        <w:spacing w:line="360" w:lineRule="auto"/>
        <w:jc w:val="both"/>
        <w:rPr>
          <w:rFonts w:asciiTheme="minorHAnsi" w:hAnsiTheme="minorHAnsi" w:cstheme="minorHAnsi"/>
          <w:color w:val="000000"/>
          <w:sz w:val="22"/>
          <w:szCs w:val="22"/>
        </w:rPr>
      </w:pPr>
      <w:r w:rsidRPr="007A58D9">
        <w:rPr>
          <w:rStyle w:val="citation-37"/>
          <w:rFonts w:asciiTheme="minorHAnsi" w:eastAsiaTheme="majorEastAsia" w:hAnsiTheme="minorHAnsi" w:cstheme="minorHAnsi"/>
          <w:color w:val="000000"/>
          <w:sz w:val="22"/>
          <w:szCs w:val="22"/>
        </w:rPr>
        <w:t>Je tiens aussi à saluer l’</w:t>
      </w:r>
      <w:r w:rsidRPr="007A58D9">
        <w:rPr>
          <w:rStyle w:val="citation-37"/>
          <w:rFonts w:asciiTheme="minorHAnsi" w:eastAsiaTheme="majorEastAsia" w:hAnsiTheme="minorHAnsi" w:cstheme="minorHAnsi"/>
          <w:b/>
          <w:bCs/>
          <w:color w:val="000000"/>
          <w:sz w:val="22"/>
          <w:szCs w:val="22"/>
        </w:rPr>
        <w:t>IFPEK de Rennes</w:t>
      </w:r>
      <w:r w:rsidRPr="007A58D9">
        <w:rPr>
          <w:rStyle w:val="apple-converted-space"/>
          <w:rFonts w:asciiTheme="minorHAnsi" w:hAnsiTheme="minorHAnsi" w:cstheme="minorHAnsi"/>
          <w:color w:val="000000"/>
          <w:sz w:val="22"/>
          <w:szCs w:val="22"/>
        </w:rPr>
        <w:t> </w:t>
      </w:r>
      <w:r w:rsidRPr="007A58D9">
        <w:rPr>
          <w:rStyle w:val="citation-37"/>
          <w:rFonts w:asciiTheme="minorHAnsi" w:eastAsiaTheme="majorEastAsia" w:hAnsiTheme="minorHAnsi" w:cstheme="minorHAnsi"/>
          <w:color w:val="000000"/>
          <w:sz w:val="22"/>
          <w:szCs w:val="22"/>
        </w:rPr>
        <w:t>pour la qualité de l’accompagnement pédagogique tout au long de cette formation</w:t>
      </w:r>
      <w:r w:rsidRPr="007A58D9">
        <w:rPr>
          <w:rFonts w:asciiTheme="minorHAnsi" w:hAnsiTheme="minorHAnsi" w:cstheme="minorHAnsi"/>
          <w:color w:val="000000"/>
          <w:sz w:val="22"/>
          <w:szCs w:val="22"/>
        </w:rPr>
        <w:t>.</w:t>
      </w:r>
    </w:p>
    <w:p w14:paraId="5E7A420D" w14:textId="4142E1DE" w:rsidR="007A58D9" w:rsidRPr="007A58D9" w:rsidRDefault="007A58D9" w:rsidP="007A58D9">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U</w:t>
      </w:r>
      <w:r w:rsidRPr="007A58D9">
        <w:rPr>
          <w:rFonts w:asciiTheme="minorHAnsi" w:hAnsiTheme="minorHAnsi" w:cstheme="minorHAnsi"/>
          <w:color w:val="000000"/>
          <w:sz w:val="22"/>
          <w:szCs w:val="22"/>
        </w:rPr>
        <w:t>ne pensée particulière pour ma famille et mes proches, qui m'ont soutenu durant la rédaction de ce mémoire, ainsi qu’à mes camarades de promotion pour les échanges et l’entraide partagés durant ces quatre années.</w:t>
      </w:r>
    </w:p>
    <w:p w14:paraId="494B08FD" w14:textId="77777777" w:rsidR="007A58D9" w:rsidRPr="007A58D9" w:rsidRDefault="007A58D9" w:rsidP="007A58D9">
      <w:pPr>
        <w:spacing w:after="200" w:line="360" w:lineRule="auto"/>
        <w:jc w:val="both"/>
        <w:rPr>
          <w:rFonts w:eastAsia="Calibri" w:cstheme="minorHAnsi"/>
          <w:b/>
          <w:bCs/>
        </w:rPr>
      </w:pPr>
    </w:p>
    <w:p w14:paraId="3715F008" w14:textId="4A192A67" w:rsidR="007A58D9" w:rsidRPr="008713FA" w:rsidRDefault="007A58D9" w:rsidP="00983D9E">
      <w:pPr>
        <w:rPr>
          <w:rFonts w:eastAsia="Calibri" w:cstheme="minorHAnsi"/>
        </w:rPr>
      </w:pPr>
      <w:r>
        <w:rPr>
          <w:rFonts w:eastAsia="Calibri" w:cstheme="minorHAnsi"/>
        </w:rPr>
        <w:br w:type="page"/>
      </w:r>
    </w:p>
    <w:p w14:paraId="2D8A544E" w14:textId="35CEDF2C" w:rsidR="00AC0074" w:rsidRPr="002F2D7A" w:rsidRDefault="005E2DC6" w:rsidP="007A614A">
      <w:pPr>
        <w:spacing w:line="360" w:lineRule="auto"/>
        <w:jc w:val="center"/>
        <w:rPr>
          <w:b/>
          <w:bCs/>
          <w:sz w:val="28"/>
          <w:szCs w:val="28"/>
        </w:rPr>
      </w:pPr>
      <w:r w:rsidRPr="002F2D7A">
        <w:rPr>
          <w:b/>
          <w:bCs/>
          <w:sz w:val="28"/>
          <w:szCs w:val="28"/>
        </w:rPr>
        <w:lastRenderedPageBreak/>
        <w:t>So</w:t>
      </w:r>
      <w:r w:rsidR="00AC0074" w:rsidRPr="002F2D7A">
        <w:rPr>
          <w:b/>
          <w:bCs/>
          <w:sz w:val="28"/>
          <w:szCs w:val="28"/>
        </w:rPr>
        <w:t>mmaire</w:t>
      </w:r>
      <w:bookmarkEnd w:id="0"/>
    </w:p>
    <w:p w14:paraId="2ED10363" w14:textId="77777777" w:rsidR="000519C5" w:rsidRPr="00962C41" w:rsidRDefault="000519C5" w:rsidP="001C18E0">
      <w:pPr>
        <w:spacing w:line="360" w:lineRule="auto"/>
        <w:jc w:val="both"/>
        <w:rPr>
          <w:rFonts w:ascii="Times New Roman" w:hAnsi="Times New Roman" w:cs="Times New Roman"/>
        </w:rPr>
      </w:pPr>
    </w:p>
    <w:sdt>
      <w:sdtPr>
        <w:rPr>
          <w:rFonts w:ascii="Times New Roman" w:hAnsi="Times New Roman" w:cs="Times New Roman"/>
        </w:rPr>
        <w:id w:val="-1504514309"/>
        <w:docPartObj>
          <w:docPartGallery w:val="Table of Contents"/>
          <w:docPartUnique/>
        </w:docPartObj>
      </w:sdtPr>
      <w:sdtEndPr>
        <w:rPr>
          <w:b/>
          <w:bCs/>
        </w:rPr>
      </w:sdtEndPr>
      <w:sdtContent>
        <w:p w14:paraId="79BB4A73" w14:textId="2AF1C835" w:rsidR="00983D9E" w:rsidRDefault="00E426C4">
          <w:pPr>
            <w:pStyle w:val="TM1"/>
            <w:rPr>
              <w:rFonts w:eastAsiaTheme="minorEastAsia"/>
              <w:noProof/>
              <w:kern w:val="2"/>
              <w:sz w:val="24"/>
              <w:szCs w:val="24"/>
              <w:lang w:eastAsia="fr-FR"/>
              <w14:ligatures w14:val="standardContextual"/>
            </w:rPr>
          </w:pPr>
          <w:r w:rsidRPr="00962C41">
            <w:rPr>
              <w:rFonts w:ascii="Times New Roman" w:hAnsi="Times New Roman" w:cs="Times New Roman"/>
            </w:rPr>
            <w:fldChar w:fldCharType="begin"/>
          </w:r>
          <w:r w:rsidR="0087173D" w:rsidRPr="00962C41">
            <w:rPr>
              <w:rFonts w:ascii="Times New Roman" w:hAnsi="Times New Roman" w:cs="Times New Roman"/>
            </w:rPr>
            <w:instrText xml:space="preserve"> TOC \o "1-3" \h \z \u </w:instrText>
          </w:r>
          <w:r w:rsidRPr="00962C41">
            <w:rPr>
              <w:rFonts w:ascii="Times New Roman" w:hAnsi="Times New Roman" w:cs="Times New Roman"/>
            </w:rPr>
            <w:fldChar w:fldCharType="separate"/>
          </w:r>
          <w:hyperlink w:anchor="_Toc221704603" w:history="1">
            <w:r w:rsidR="00983D9E" w:rsidRPr="002C41DC">
              <w:rPr>
                <w:rStyle w:val="Lienhypertexte"/>
                <w:noProof/>
              </w:rPr>
              <w:t>Déclaration d’utilisation raisonnée de l’IA</w:t>
            </w:r>
            <w:r w:rsidR="00983D9E">
              <w:rPr>
                <w:noProof/>
                <w:webHidden/>
              </w:rPr>
              <w:tab/>
            </w:r>
            <w:r w:rsidR="00983D9E">
              <w:rPr>
                <w:noProof/>
                <w:webHidden/>
              </w:rPr>
              <w:fldChar w:fldCharType="begin"/>
            </w:r>
            <w:r w:rsidR="00983D9E">
              <w:rPr>
                <w:noProof/>
                <w:webHidden/>
              </w:rPr>
              <w:instrText xml:space="preserve"> PAGEREF _Toc221704603 \h </w:instrText>
            </w:r>
            <w:r w:rsidR="00983D9E">
              <w:rPr>
                <w:noProof/>
                <w:webHidden/>
              </w:rPr>
            </w:r>
            <w:r w:rsidR="00983D9E">
              <w:rPr>
                <w:noProof/>
                <w:webHidden/>
              </w:rPr>
              <w:fldChar w:fldCharType="separate"/>
            </w:r>
            <w:r w:rsidR="00B93EA8">
              <w:rPr>
                <w:noProof/>
                <w:webHidden/>
              </w:rPr>
              <w:t>1</w:t>
            </w:r>
            <w:r w:rsidR="00983D9E">
              <w:rPr>
                <w:noProof/>
                <w:webHidden/>
              </w:rPr>
              <w:fldChar w:fldCharType="end"/>
            </w:r>
          </w:hyperlink>
        </w:p>
        <w:p w14:paraId="21242241" w14:textId="12586DBF" w:rsidR="00983D9E" w:rsidRDefault="00983D9E">
          <w:pPr>
            <w:pStyle w:val="TM1"/>
            <w:rPr>
              <w:rFonts w:eastAsiaTheme="minorEastAsia"/>
              <w:noProof/>
              <w:kern w:val="2"/>
              <w:sz w:val="24"/>
              <w:szCs w:val="24"/>
              <w:lang w:eastAsia="fr-FR"/>
              <w14:ligatures w14:val="standardContextual"/>
            </w:rPr>
          </w:pPr>
          <w:hyperlink w:anchor="_Toc221704604" w:history="1">
            <w:r w:rsidRPr="002C41DC">
              <w:rPr>
                <w:rStyle w:val="Lienhypertexte"/>
                <w:noProof/>
              </w:rPr>
              <w:t>Préambule</w:t>
            </w:r>
            <w:r>
              <w:rPr>
                <w:noProof/>
                <w:webHidden/>
              </w:rPr>
              <w:tab/>
            </w:r>
            <w:r>
              <w:rPr>
                <w:noProof/>
                <w:webHidden/>
              </w:rPr>
              <w:fldChar w:fldCharType="begin"/>
            </w:r>
            <w:r>
              <w:rPr>
                <w:noProof/>
                <w:webHidden/>
              </w:rPr>
              <w:instrText xml:space="preserve"> PAGEREF _Toc221704604 \h </w:instrText>
            </w:r>
            <w:r>
              <w:rPr>
                <w:noProof/>
                <w:webHidden/>
              </w:rPr>
            </w:r>
            <w:r>
              <w:rPr>
                <w:noProof/>
                <w:webHidden/>
              </w:rPr>
              <w:fldChar w:fldCharType="separate"/>
            </w:r>
            <w:r w:rsidR="00B93EA8">
              <w:rPr>
                <w:noProof/>
                <w:webHidden/>
              </w:rPr>
              <w:t>2</w:t>
            </w:r>
            <w:r>
              <w:rPr>
                <w:noProof/>
                <w:webHidden/>
              </w:rPr>
              <w:fldChar w:fldCharType="end"/>
            </w:r>
          </w:hyperlink>
        </w:p>
        <w:p w14:paraId="0242D07D" w14:textId="21512BC8" w:rsidR="00983D9E" w:rsidRDefault="00983D9E">
          <w:pPr>
            <w:pStyle w:val="TM1"/>
            <w:tabs>
              <w:tab w:val="left" w:pos="440"/>
            </w:tabs>
            <w:rPr>
              <w:rFonts w:eastAsiaTheme="minorEastAsia"/>
              <w:noProof/>
              <w:kern w:val="2"/>
              <w:sz w:val="24"/>
              <w:szCs w:val="24"/>
              <w:lang w:eastAsia="fr-FR"/>
              <w14:ligatures w14:val="standardContextual"/>
            </w:rPr>
          </w:pPr>
          <w:hyperlink w:anchor="_Toc221704605" w:history="1">
            <w:r w:rsidRPr="002C41DC">
              <w:rPr>
                <w:rStyle w:val="Lienhypertexte"/>
                <w:noProof/>
              </w:rPr>
              <w:t>1.</w:t>
            </w:r>
            <w:r>
              <w:rPr>
                <w:rFonts w:eastAsiaTheme="minorEastAsia"/>
                <w:noProof/>
                <w:kern w:val="2"/>
                <w:sz w:val="24"/>
                <w:szCs w:val="24"/>
                <w:lang w:eastAsia="fr-FR"/>
                <w14:ligatures w14:val="standardContextual"/>
              </w:rPr>
              <w:tab/>
            </w:r>
            <w:r w:rsidRPr="002C41DC">
              <w:rPr>
                <w:rStyle w:val="Lienhypertexte"/>
                <w:noProof/>
              </w:rPr>
              <w:t>Introduction</w:t>
            </w:r>
            <w:r>
              <w:rPr>
                <w:noProof/>
                <w:webHidden/>
              </w:rPr>
              <w:tab/>
            </w:r>
            <w:r>
              <w:rPr>
                <w:noProof/>
                <w:webHidden/>
              </w:rPr>
              <w:fldChar w:fldCharType="begin"/>
            </w:r>
            <w:r>
              <w:rPr>
                <w:noProof/>
                <w:webHidden/>
              </w:rPr>
              <w:instrText xml:space="preserve"> PAGEREF _Toc221704605 \h </w:instrText>
            </w:r>
            <w:r>
              <w:rPr>
                <w:noProof/>
                <w:webHidden/>
              </w:rPr>
            </w:r>
            <w:r>
              <w:rPr>
                <w:noProof/>
                <w:webHidden/>
              </w:rPr>
              <w:fldChar w:fldCharType="separate"/>
            </w:r>
            <w:r w:rsidR="00B93EA8">
              <w:rPr>
                <w:noProof/>
                <w:webHidden/>
              </w:rPr>
              <w:t>4</w:t>
            </w:r>
            <w:r>
              <w:rPr>
                <w:noProof/>
                <w:webHidden/>
              </w:rPr>
              <w:fldChar w:fldCharType="end"/>
            </w:r>
          </w:hyperlink>
        </w:p>
        <w:p w14:paraId="5844F9B7" w14:textId="7E00B611"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06" w:history="1">
            <w:r w:rsidRPr="002C41DC">
              <w:rPr>
                <w:rStyle w:val="Lienhypertexte"/>
                <w:noProof/>
              </w:rPr>
              <w:t>1.1.</w:t>
            </w:r>
            <w:r>
              <w:rPr>
                <w:rFonts w:eastAsiaTheme="minorEastAsia"/>
                <w:noProof/>
                <w:kern w:val="2"/>
                <w:sz w:val="24"/>
                <w:szCs w:val="24"/>
                <w:lang w:eastAsia="fr-FR"/>
                <w14:ligatures w14:val="standardContextual"/>
              </w:rPr>
              <w:tab/>
            </w:r>
            <w:r w:rsidRPr="002C41DC">
              <w:rPr>
                <w:rStyle w:val="Lienhypertexte"/>
                <w:noProof/>
              </w:rPr>
              <w:t>Les personnes âgées</w:t>
            </w:r>
            <w:r>
              <w:rPr>
                <w:noProof/>
                <w:webHidden/>
              </w:rPr>
              <w:tab/>
            </w:r>
            <w:r>
              <w:rPr>
                <w:noProof/>
                <w:webHidden/>
              </w:rPr>
              <w:fldChar w:fldCharType="begin"/>
            </w:r>
            <w:r>
              <w:rPr>
                <w:noProof/>
                <w:webHidden/>
              </w:rPr>
              <w:instrText xml:space="preserve"> PAGEREF _Toc221704606 \h </w:instrText>
            </w:r>
            <w:r>
              <w:rPr>
                <w:noProof/>
                <w:webHidden/>
              </w:rPr>
            </w:r>
            <w:r>
              <w:rPr>
                <w:noProof/>
                <w:webHidden/>
              </w:rPr>
              <w:fldChar w:fldCharType="separate"/>
            </w:r>
            <w:r w:rsidR="00B93EA8">
              <w:rPr>
                <w:noProof/>
                <w:webHidden/>
              </w:rPr>
              <w:t>4</w:t>
            </w:r>
            <w:r>
              <w:rPr>
                <w:noProof/>
                <w:webHidden/>
              </w:rPr>
              <w:fldChar w:fldCharType="end"/>
            </w:r>
          </w:hyperlink>
        </w:p>
        <w:p w14:paraId="692CC50F" w14:textId="7B87B33A"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07" w:history="1">
            <w:r w:rsidRPr="002C41DC">
              <w:rPr>
                <w:rStyle w:val="Lienhypertexte"/>
                <w:noProof/>
              </w:rPr>
              <w:t>1.1.1.</w:t>
            </w:r>
            <w:r>
              <w:rPr>
                <w:rFonts w:eastAsiaTheme="minorEastAsia"/>
                <w:noProof/>
                <w:kern w:val="2"/>
                <w:sz w:val="24"/>
                <w:szCs w:val="24"/>
                <w:lang w:eastAsia="fr-FR"/>
                <w14:ligatures w14:val="standardContextual"/>
              </w:rPr>
              <w:tab/>
            </w:r>
            <w:r w:rsidRPr="002C41DC">
              <w:rPr>
                <w:rStyle w:val="Lienhypertexte"/>
                <w:noProof/>
              </w:rPr>
              <w:t>Définition de la personne âgée</w:t>
            </w:r>
            <w:r>
              <w:rPr>
                <w:noProof/>
                <w:webHidden/>
              </w:rPr>
              <w:tab/>
            </w:r>
            <w:r>
              <w:rPr>
                <w:noProof/>
                <w:webHidden/>
              </w:rPr>
              <w:fldChar w:fldCharType="begin"/>
            </w:r>
            <w:r>
              <w:rPr>
                <w:noProof/>
                <w:webHidden/>
              </w:rPr>
              <w:instrText xml:space="preserve"> PAGEREF _Toc221704607 \h </w:instrText>
            </w:r>
            <w:r>
              <w:rPr>
                <w:noProof/>
                <w:webHidden/>
              </w:rPr>
            </w:r>
            <w:r>
              <w:rPr>
                <w:noProof/>
                <w:webHidden/>
              </w:rPr>
              <w:fldChar w:fldCharType="separate"/>
            </w:r>
            <w:r w:rsidR="00B93EA8">
              <w:rPr>
                <w:noProof/>
                <w:webHidden/>
              </w:rPr>
              <w:t>4</w:t>
            </w:r>
            <w:r>
              <w:rPr>
                <w:noProof/>
                <w:webHidden/>
              </w:rPr>
              <w:fldChar w:fldCharType="end"/>
            </w:r>
          </w:hyperlink>
        </w:p>
        <w:p w14:paraId="7590D0A6" w14:textId="61EBBE74"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08" w:history="1">
            <w:r w:rsidRPr="002C41DC">
              <w:rPr>
                <w:rStyle w:val="Lienhypertexte"/>
                <w:noProof/>
              </w:rPr>
              <w:t>1.2.</w:t>
            </w:r>
            <w:r>
              <w:rPr>
                <w:rFonts w:eastAsiaTheme="minorEastAsia"/>
                <w:noProof/>
                <w:kern w:val="2"/>
                <w:sz w:val="24"/>
                <w:szCs w:val="24"/>
                <w:lang w:eastAsia="fr-FR"/>
                <w14:ligatures w14:val="standardContextual"/>
              </w:rPr>
              <w:tab/>
            </w:r>
            <w:r w:rsidRPr="002C41DC">
              <w:rPr>
                <w:rStyle w:val="Lienhypertexte"/>
                <w:noProof/>
              </w:rPr>
              <w:t>Le vieillissement</w:t>
            </w:r>
            <w:r>
              <w:rPr>
                <w:noProof/>
                <w:webHidden/>
              </w:rPr>
              <w:tab/>
            </w:r>
            <w:r>
              <w:rPr>
                <w:noProof/>
                <w:webHidden/>
              </w:rPr>
              <w:fldChar w:fldCharType="begin"/>
            </w:r>
            <w:r>
              <w:rPr>
                <w:noProof/>
                <w:webHidden/>
              </w:rPr>
              <w:instrText xml:space="preserve"> PAGEREF _Toc221704608 \h </w:instrText>
            </w:r>
            <w:r>
              <w:rPr>
                <w:noProof/>
                <w:webHidden/>
              </w:rPr>
            </w:r>
            <w:r>
              <w:rPr>
                <w:noProof/>
                <w:webHidden/>
              </w:rPr>
              <w:fldChar w:fldCharType="separate"/>
            </w:r>
            <w:r w:rsidR="00B93EA8">
              <w:rPr>
                <w:noProof/>
                <w:webHidden/>
              </w:rPr>
              <w:t>4</w:t>
            </w:r>
            <w:r>
              <w:rPr>
                <w:noProof/>
                <w:webHidden/>
              </w:rPr>
              <w:fldChar w:fldCharType="end"/>
            </w:r>
          </w:hyperlink>
        </w:p>
        <w:p w14:paraId="4FA16857" w14:textId="24368A5D"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09" w:history="1">
            <w:r w:rsidRPr="002C41DC">
              <w:rPr>
                <w:rStyle w:val="Lienhypertexte"/>
                <w:noProof/>
              </w:rPr>
              <w:t>1.2.1.</w:t>
            </w:r>
            <w:r>
              <w:rPr>
                <w:rFonts w:eastAsiaTheme="minorEastAsia"/>
                <w:noProof/>
                <w:kern w:val="2"/>
                <w:sz w:val="24"/>
                <w:szCs w:val="24"/>
                <w:lang w:eastAsia="fr-FR"/>
                <w14:ligatures w14:val="standardContextual"/>
              </w:rPr>
              <w:tab/>
            </w:r>
            <w:r w:rsidRPr="002C41DC">
              <w:rPr>
                <w:rStyle w:val="Lienhypertexte"/>
                <w:noProof/>
              </w:rPr>
              <w:t>La physiologie du vieillissement</w:t>
            </w:r>
            <w:r>
              <w:rPr>
                <w:noProof/>
                <w:webHidden/>
              </w:rPr>
              <w:tab/>
            </w:r>
            <w:r>
              <w:rPr>
                <w:noProof/>
                <w:webHidden/>
              </w:rPr>
              <w:fldChar w:fldCharType="begin"/>
            </w:r>
            <w:r>
              <w:rPr>
                <w:noProof/>
                <w:webHidden/>
              </w:rPr>
              <w:instrText xml:space="preserve"> PAGEREF _Toc221704609 \h </w:instrText>
            </w:r>
            <w:r>
              <w:rPr>
                <w:noProof/>
                <w:webHidden/>
              </w:rPr>
            </w:r>
            <w:r>
              <w:rPr>
                <w:noProof/>
                <w:webHidden/>
              </w:rPr>
              <w:fldChar w:fldCharType="separate"/>
            </w:r>
            <w:r w:rsidR="00B93EA8">
              <w:rPr>
                <w:noProof/>
                <w:webHidden/>
              </w:rPr>
              <w:t>4</w:t>
            </w:r>
            <w:r>
              <w:rPr>
                <w:noProof/>
                <w:webHidden/>
              </w:rPr>
              <w:fldChar w:fldCharType="end"/>
            </w:r>
          </w:hyperlink>
        </w:p>
        <w:p w14:paraId="7E2CAAFE" w14:textId="119EC206"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0" w:history="1">
            <w:r w:rsidRPr="002C41DC">
              <w:rPr>
                <w:rStyle w:val="Lienhypertexte"/>
                <w:noProof/>
              </w:rPr>
              <w:t>1.2.2.</w:t>
            </w:r>
            <w:r>
              <w:rPr>
                <w:rFonts w:eastAsiaTheme="minorEastAsia"/>
                <w:noProof/>
                <w:kern w:val="2"/>
                <w:sz w:val="24"/>
                <w:szCs w:val="24"/>
                <w:lang w:eastAsia="fr-FR"/>
                <w14:ligatures w14:val="standardContextual"/>
              </w:rPr>
              <w:tab/>
            </w:r>
            <w:r w:rsidRPr="002C41DC">
              <w:rPr>
                <w:rStyle w:val="Lienhypertexte"/>
                <w:noProof/>
              </w:rPr>
              <w:t>Les conséquences physiologiques</w:t>
            </w:r>
            <w:r>
              <w:rPr>
                <w:noProof/>
                <w:webHidden/>
              </w:rPr>
              <w:tab/>
            </w:r>
            <w:r>
              <w:rPr>
                <w:noProof/>
                <w:webHidden/>
              </w:rPr>
              <w:fldChar w:fldCharType="begin"/>
            </w:r>
            <w:r>
              <w:rPr>
                <w:noProof/>
                <w:webHidden/>
              </w:rPr>
              <w:instrText xml:space="preserve"> PAGEREF _Toc221704610 \h </w:instrText>
            </w:r>
            <w:r>
              <w:rPr>
                <w:noProof/>
                <w:webHidden/>
              </w:rPr>
            </w:r>
            <w:r>
              <w:rPr>
                <w:noProof/>
                <w:webHidden/>
              </w:rPr>
              <w:fldChar w:fldCharType="separate"/>
            </w:r>
            <w:r w:rsidR="00B93EA8">
              <w:rPr>
                <w:noProof/>
                <w:webHidden/>
              </w:rPr>
              <w:t>5</w:t>
            </w:r>
            <w:r>
              <w:rPr>
                <w:noProof/>
                <w:webHidden/>
              </w:rPr>
              <w:fldChar w:fldCharType="end"/>
            </w:r>
          </w:hyperlink>
        </w:p>
        <w:p w14:paraId="12A8C6DD" w14:textId="3BDB0F25"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1" w:history="1">
            <w:r w:rsidRPr="002C41DC">
              <w:rPr>
                <w:rStyle w:val="Lienhypertexte"/>
                <w:noProof/>
              </w:rPr>
              <w:t>1.2.3.</w:t>
            </w:r>
            <w:r>
              <w:rPr>
                <w:rFonts w:eastAsiaTheme="minorEastAsia"/>
                <w:noProof/>
                <w:kern w:val="2"/>
                <w:sz w:val="24"/>
                <w:szCs w:val="24"/>
                <w:lang w:eastAsia="fr-FR"/>
                <w14:ligatures w14:val="standardContextual"/>
              </w:rPr>
              <w:tab/>
            </w:r>
            <w:r w:rsidRPr="002C41DC">
              <w:rPr>
                <w:rStyle w:val="Lienhypertexte"/>
                <w:noProof/>
              </w:rPr>
              <w:t>Épidémiologie du vieillissement</w:t>
            </w:r>
            <w:r>
              <w:rPr>
                <w:noProof/>
                <w:webHidden/>
              </w:rPr>
              <w:tab/>
            </w:r>
            <w:r>
              <w:rPr>
                <w:noProof/>
                <w:webHidden/>
              </w:rPr>
              <w:fldChar w:fldCharType="begin"/>
            </w:r>
            <w:r>
              <w:rPr>
                <w:noProof/>
                <w:webHidden/>
              </w:rPr>
              <w:instrText xml:space="preserve"> PAGEREF _Toc221704611 \h </w:instrText>
            </w:r>
            <w:r>
              <w:rPr>
                <w:noProof/>
                <w:webHidden/>
              </w:rPr>
            </w:r>
            <w:r>
              <w:rPr>
                <w:noProof/>
                <w:webHidden/>
              </w:rPr>
              <w:fldChar w:fldCharType="separate"/>
            </w:r>
            <w:r w:rsidR="00B93EA8">
              <w:rPr>
                <w:noProof/>
                <w:webHidden/>
              </w:rPr>
              <w:t>7</w:t>
            </w:r>
            <w:r>
              <w:rPr>
                <w:noProof/>
                <w:webHidden/>
              </w:rPr>
              <w:fldChar w:fldCharType="end"/>
            </w:r>
          </w:hyperlink>
        </w:p>
        <w:p w14:paraId="6FE1D809" w14:textId="14DBFF15"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12" w:history="1">
            <w:r w:rsidRPr="002C41DC">
              <w:rPr>
                <w:rStyle w:val="Lienhypertexte"/>
                <w:noProof/>
              </w:rPr>
              <w:t>1.3.</w:t>
            </w:r>
            <w:r>
              <w:rPr>
                <w:rFonts w:eastAsiaTheme="minorEastAsia"/>
                <w:noProof/>
                <w:kern w:val="2"/>
                <w:sz w:val="24"/>
                <w:szCs w:val="24"/>
                <w:lang w:eastAsia="fr-FR"/>
                <w14:ligatures w14:val="standardContextual"/>
              </w:rPr>
              <w:tab/>
            </w:r>
            <w:r w:rsidRPr="002C41DC">
              <w:rPr>
                <w:rStyle w:val="Lienhypertexte"/>
                <w:noProof/>
              </w:rPr>
              <w:t>La chute</w:t>
            </w:r>
            <w:r>
              <w:rPr>
                <w:noProof/>
                <w:webHidden/>
              </w:rPr>
              <w:tab/>
            </w:r>
            <w:r>
              <w:rPr>
                <w:noProof/>
                <w:webHidden/>
              </w:rPr>
              <w:fldChar w:fldCharType="begin"/>
            </w:r>
            <w:r>
              <w:rPr>
                <w:noProof/>
                <w:webHidden/>
              </w:rPr>
              <w:instrText xml:space="preserve"> PAGEREF _Toc221704612 \h </w:instrText>
            </w:r>
            <w:r>
              <w:rPr>
                <w:noProof/>
                <w:webHidden/>
              </w:rPr>
            </w:r>
            <w:r>
              <w:rPr>
                <w:noProof/>
                <w:webHidden/>
              </w:rPr>
              <w:fldChar w:fldCharType="separate"/>
            </w:r>
            <w:r w:rsidR="00B93EA8">
              <w:rPr>
                <w:noProof/>
                <w:webHidden/>
              </w:rPr>
              <w:t>8</w:t>
            </w:r>
            <w:r>
              <w:rPr>
                <w:noProof/>
                <w:webHidden/>
              </w:rPr>
              <w:fldChar w:fldCharType="end"/>
            </w:r>
          </w:hyperlink>
        </w:p>
        <w:p w14:paraId="4629C39C" w14:textId="58F2735D"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3" w:history="1">
            <w:r w:rsidRPr="002C41DC">
              <w:rPr>
                <w:rStyle w:val="Lienhypertexte"/>
                <w:noProof/>
              </w:rPr>
              <w:t>1.3.1.</w:t>
            </w:r>
            <w:r>
              <w:rPr>
                <w:rFonts w:eastAsiaTheme="minorEastAsia"/>
                <w:noProof/>
                <w:kern w:val="2"/>
                <w:sz w:val="24"/>
                <w:szCs w:val="24"/>
                <w:lang w:eastAsia="fr-FR"/>
                <w14:ligatures w14:val="standardContextual"/>
              </w:rPr>
              <w:tab/>
            </w:r>
            <w:r w:rsidRPr="002C41DC">
              <w:rPr>
                <w:rStyle w:val="Lienhypertexte"/>
                <w:noProof/>
              </w:rPr>
              <w:t>Définition</w:t>
            </w:r>
            <w:r>
              <w:rPr>
                <w:noProof/>
                <w:webHidden/>
              </w:rPr>
              <w:tab/>
            </w:r>
            <w:r>
              <w:rPr>
                <w:noProof/>
                <w:webHidden/>
              </w:rPr>
              <w:fldChar w:fldCharType="begin"/>
            </w:r>
            <w:r>
              <w:rPr>
                <w:noProof/>
                <w:webHidden/>
              </w:rPr>
              <w:instrText xml:space="preserve"> PAGEREF _Toc221704613 \h </w:instrText>
            </w:r>
            <w:r>
              <w:rPr>
                <w:noProof/>
                <w:webHidden/>
              </w:rPr>
            </w:r>
            <w:r>
              <w:rPr>
                <w:noProof/>
                <w:webHidden/>
              </w:rPr>
              <w:fldChar w:fldCharType="separate"/>
            </w:r>
            <w:r w:rsidR="00B93EA8">
              <w:rPr>
                <w:noProof/>
                <w:webHidden/>
              </w:rPr>
              <w:t>8</w:t>
            </w:r>
            <w:r>
              <w:rPr>
                <w:noProof/>
                <w:webHidden/>
              </w:rPr>
              <w:fldChar w:fldCharType="end"/>
            </w:r>
          </w:hyperlink>
        </w:p>
        <w:p w14:paraId="4B42188E" w14:textId="138852CE"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4" w:history="1">
            <w:r w:rsidRPr="002C41DC">
              <w:rPr>
                <w:rStyle w:val="Lienhypertexte"/>
                <w:noProof/>
              </w:rPr>
              <w:t>1.3.2.</w:t>
            </w:r>
            <w:r>
              <w:rPr>
                <w:rFonts w:eastAsiaTheme="minorEastAsia"/>
                <w:noProof/>
                <w:kern w:val="2"/>
                <w:sz w:val="24"/>
                <w:szCs w:val="24"/>
                <w:lang w:eastAsia="fr-FR"/>
                <w14:ligatures w14:val="standardContextual"/>
              </w:rPr>
              <w:tab/>
            </w:r>
            <w:r w:rsidRPr="002C41DC">
              <w:rPr>
                <w:rStyle w:val="Lienhypertexte"/>
                <w:noProof/>
              </w:rPr>
              <w:t>Le plan antichute</w:t>
            </w:r>
            <w:r>
              <w:rPr>
                <w:noProof/>
                <w:webHidden/>
              </w:rPr>
              <w:tab/>
            </w:r>
            <w:r>
              <w:rPr>
                <w:noProof/>
                <w:webHidden/>
              </w:rPr>
              <w:fldChar w:fldCharType="begin"/>
            </w:r>
            <w:r>
              <w:rPr>
                <w:noProof/>
                <w:webHidden/>
              </w:rPr>
              <w:instrText xml:space="preserve"> PAGEREF _Toc221704614 \h </w:instrText>
            </w:r>
            <w:r>
              <w:rPr>
                <w:noProof/>
                <w:webHidden/>
              </w:rPr>
            </w:r>
            <w:r>
              <w:rPr>
                <w:noProof/>
                <w:webHidden/>
              </w:rPr>
              <w:fldChar w:fldCharType="separate"/>
            </w:r>
            <w:r w:rsidR="00B93EA8">
              <w:rPr>
                <w:noProof/>
                <w:webHidden/>
              </w:rPr>
              <w:t>9</w:t>
            </w:r>
            <w:r>
              <w:rPr>
                <w:noProof/>
                <w:webHidden/>
              </w:rPr>
              <w:fldChar w:fldCharType="end"/>
            </w:r>
          </w:hyperlink>
        </w:p>
        <w:p w14:paraId="41B4D41B" w14:textId="19CC5F01"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15" w:history="1">
            <w:r w:rsidRPr="002C41DC">
              <w:rPr>
                <w:rStyle w:val="Lienhypertexte"/>
                <w:noProof/>
              </w:rPr>
              <w:t>1.4.</w:t>
            </w:r>
            <w:r>
              <w:rPr>
                <w:rFonts w:eastAsiaTheme="minorEastAsia"/>
                <w:noProof/>
                <w:kern w:val="2"/>
                <w:sz w:val="24"/>
                <w:szCs w:val="24"/>
                <w:lang w:eastAsia="fr-FR"/>
                <w14:ligatures w14:val="standardContextual"/>
              </w:rPr>
              <w:tab/>
            </w:r>
            <w:r w:rsidRPr="002C41DC">
              <w:rPr>
                <w:rStyle w:val="Lienhypertexte"/>
                <w:noProof/>
              </w:rPr>
              <w:t>L’équilibre</w:t>
            </w:r>
            <w:r>
              <w:rPr>
                <w:noProof/>
                <w:webHidden/>
              </w:rPr>
              <w:tab/>
            </w:r>
            <w:r>
              <w:rPr>
                <w:noProof/>
                <w:webHidden/>
              </w:rPr>
              <w:fldChar w:fldCharType="begin"/>
            </w:r>
            <w:r>
              <w:rPr>
                <w:noProof/>
                <w:webHidden/>
              </w:rPr>
              <w:instrText xml:space="preserve"> PAGEREF _Toc221704615 \h </w:instrText>
            </w:r>
            <w:r>
              <w:rPr>
                <w:noProof/>
                <w:webHidden/>
              </w:rPr>
            </w:r>
            <w:r>
              <w:rPr>
                <w:noProof/>
                <w:webHidden/>
              </w:rPr>
              <w:fldChar w:fldCharType="separate"/>
            </w:r>
            <w:r w:rsidR="00B93EA8">
              <w:rPr>
                <w:noProof/>
                <w:webHidden/>
              </w:rPr>
              <w:t>10</w:t>
            </w:r>
            <w:r>
              <w:rPr>
                <w:noProof/>
                <w:webHidden/>
              </w:rPr>
              <w:fldChar w:fldCharType="end"/>
            </w:r>
          </w:hyperlink>
        </w:p>
        <w:p w14:paraId="5139E573" w14:textId="5EBB1257"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6" w:history="1">
            <w:r w:rsidRPr="002C41DC">
              <w:rPr>
                <w:rStyle w:val="Lienhypertexte"/>
                <w:noProof/>
              </w:rPr>
              <w:t>1.4.1.</w:t>
            </w:r>
            <w:r>
              <w:rPr>
                <w:rFonts w:eastAsiaTheme="minorEastAsia"/>
                <w:noProof/>
                <w:kern w:val="2"/>
                <w:sz w:val="24"/>
                <w:szCs w:val="24"/>
                <w:lang w:eastAsia="fr-FR"/>
                <w14:ligatures w14:val="standardContextual"/>
              </w:rPr>
              <w:tab/>
            </w:r>
            <w:r w:rsidRPr="002C41DC">
              <w:rPr>
                <w:rStyle w:val="Lienhypertexte"/>
                <w:noProof/>
              </w:rPr>
              <w:t>Le maintien de l’équilibre</w:t>
            </w:r>
            <w:r>
              <w:rPr>
                <w:noProof/>
                <w:webHidden/>
              </w:rPr>
              <w:tab/>
            </w:r>
            <w:r>
              <w:rPr>
                <w:noProof/>
                <w:webHidden/>
              </w:rPr>
              <w:fldChar w:fldCharType="begin"/>
            </w:r>
            <w:r>
              <w:rPr>
                <w:noProof/>
                <w:webHidden/>
              </w:rPr>
              <w:instrText xml:space="preserve"> PAGEREF _Toc221704616 \h </w:instrText>
            </w:r>
            <w:r>
              <w:rPr>
                <w:noProof/>
                <w:webHidden/>
              </w:rPr>
            </w:r>
            <w:r>
              <w:rPr>
                <w:noProof/>
                <w:webHidden/>
              </w:rPr>
              <w:fldChar w:fldCharType="separate"/>
            </w:r>
            <w:r w:rsidR="00B93EA8">
              <w:rPr>
                <w:noProof/>
                <w:webHidden/>
              </w:rPr>
              <w:t>10</w:t>
            </w:r>
            <w:r>
              <w:rPr>
                <w:noProof/>
                <w:webHidden/>
              </w:rPr>
              <w:fldChar w:fldCharType="end"/>
            </w:r>
          </w:hyperlink>
        </w:p>
        <w:p w14:paraId="35245E38" w14:textId="3992DB5C"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7" w:history="1">
            <w:r w:rsidRPr="002C41DC">
              <w:rPr>
                <w:rStyle w:val="Lienhypertexte"/>
                <w:noProof/>
              </w:rPr>
              <w:t>1.4.2.</w:t>
            </w:r>
            <w:r>
              <w:rPr>
                <w:rFonts w:eastAsiaTheme="minorEastAsia"/>
                <w:noProof/>
                <w:kern w:val="2"/>
                <w:sz w:val="24"/>
                <w:szCs w:val="24"/>
                <w:lang w:eastAsia="fr-FR"/>
                <w14:ligatures w14:val="standardContextual"/>
              </w:rPr>
              <w:tab/>
            </w:r>
            <w:r w:rsidRPr="002C41DC">
              <w:rPr>
                <w:rStyle w:val="Lienhypertexte"/>
                <w:noProof/>
              </w:rPr>
              <w:t>Les voies de l’équilibre</w:t>
            </w:r>
            <w:r>
              <w:rPr>
                <w:noProof/>
                <w:webHidden/>
              </w:rPr>
              <w:tab/>
            </w:r>
            <w:r>
              <w:rPr>
                <w:noProof/>
                <w:webHidden/>
              </w:rPr>
              <w:fldChar w:fldCharType="begin"/>
            </w:r>
            <w:r>
              <w:rPr>
                <w:noProof/>
                <w:webHidden/>
              </w:rPr>
              <w:instrText xml:space="preserve"> PAGEREF _Toc221704617 \h </w:instrText>
            </w:r>
            <w:r>
              <w:rPr>
                <w:noProof/>
                <w:webHidden/>
              </w:rPr>
            </w:r>
            <w:r>
              <w:rPr>
                <w:noProof/>
                <w:webHidden/>
              </w:rPr>
              <w:fldChar w:fldCharType="separate"/>
            </w:r>
            <w:r w:rsidR="00B93EA8">
              <w:rPr>
                <w:noProof/>
                <w:webHidden/>
              </w:rPr>
              <w:t>13</w:t>
            </w:r>
            <w:r>
              <w:rPr>
                <w:noProof/>
                <w:webHidden/>
              </w:rPr>
              <w:fldChar w:fldCharType="end"/>
            </w:r>
          </w:hyperlink>
        </w:p>
        <w:p w14:paraId="4F3F6455" w14:textId="69F66869"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8" w:history="1">
            <w:r w:rsidRPr="002C41DC">
              <w:rPr>
                <w:rStyle w:val="Lienhypertexte"/>
                <w:noProof/>
              </w:rPr>
              <w:t>1.4.3.</w:t>
            </w:r>
            <w:r>
              <w:rPr>
                <w:rFonts w:eastAsiaTheme="minorEastAsia"/>
                <w:noProof/>
                <w:kern w:val="2"/>
                <w:sz w:val="24"/>
                <w:szCs w:val="24"/>
                <w:lang w:eastAsia="fr-FR"/>
                <w14:ligatures w14:val="standardContextual"/>
              </w:rPr>
              <w:tab/>
            </w:r>
            <w:r w:rsidRPr="002C41DC">
              <w:rPr>
                <w:rStyle w:val="Lienhypertexte"/>
                <w:noProof/>
              </w:rPr>
              <w:t>Les outils disponibles pour l’évaluation de l’équilibre</w:t>
            </w:r>
            <w:r>
              <w:rPr>
                <w:noProof/>
                <w:webHidden/>
              </w:rPr>
              <w:tab/>
            </w:r>
            <w:r>
              <w:rPr>
                <w:noProof/>
                <w:webHidden/>
              </w:rPr>
              <w:fldChar w:fldCharType="begin"/>
            </w:r>
            <w:r>
              <w:rPr>
                <w:noProof/>
                <w:webHidden/>
              </w:rPr>
              <w:instrText xml:space="preserve"> PAGEREF _Toc221704618 \h </w:instrText>
            </w:r>
            <w:r>
              <w:rPr>
                <w:noProof/>
                <w:webHidden/>
              </w:rPr>
            </w:r>
            <w:r>
              <w:rPr>
                <w:noProof/>
                <w:webHidden/>
              </w:rPr>
              <w:fldChar w:fldCharType="separate"/>
            </w:r>
            <w:r w:rsidR="00B93EA8">
              <w:rPr>
                <w:noProof/>
                <w:webHidden/>
              </w:rPr>
              <w:t>14</w:t>
            </w:r>
            <w:r>
              <w:rPr>
                <w:noProof/>
                <w:webHidden/>
              </w:rPr>
              <w:fldChar w:fldCharType="end"/>
            </w:r>
          </w:hyperlink>
        </w:p>
        <w:p w14:paraId="4DF8F07D" w14:textId="6B2E38F8"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19" w:history="1">
            <w:r w:rsidRPr="002C41DC">
              <w:rPr>
                <w:rStyle w:val="Lienhypertexte"/>
                <w:noProof/>
              </w:rPr>
              <w:t>1.4.4.</w:t>
            </w:r>
            <w:r>
              <w:rPr>
                <w:rFonts w:eastAsiaTheme="minorEastAsia"/>
                <w:noProof/>
                <w:kern w:val="2"/>
                <w:sz w:val="24"/>
                <w:szCs w:val="24"/>
                <w:lang w:eastAsia="fr-FR"/>
                <w14:ligatures w14:val="standardContextual"/>
              </w:rPr>
              <w:tab/>
            </w:r>
            <w:r w:rsidRPr="002C41DC">
              <w:rPr>
                <w:rStyle w:val="Lienhypertexte"/>
                <w:noProof/>
              </w:rPr>
              <w:t>Les facteurs influençant le choix des kinésithérapeutes</w:t>
            </w:r>
            <w:r>
              <w:rPr>
                <w:noProof/>
                <w:webHidden/>
              </w:rPr>
              <w:tab/>
            </w:r>
            <w:r>
              <w:rPr>
                <w:noProof/>
                <w:webHidden/>
              </w:rPr>
              <w:fldChar w:fldCharType="begin"/>
            </w:r>
            <w:r>
              <w:rPr>
                <w:noProof/>
                <w:webHidden/>
              </w:rPr>
              <w:instrText xml:space="preserve"> PAGEREF _Toc221704619 \h </w:instrText>
            </w:r>
            <w:r>
              <w:rPr>
                <w:noProof/>
                <w:webHidden/>
              </w:rPr>
            </w:r>
            <w:r>
              <w:rPr>
                <w:noProof/>
                <w:webHidden/>
              </w:rPr>
              <w:fldChar w:fldCharType="separate"/>
            </w:r>
            <w:r w:rsidR="00B93EA8">
              <w:rPr>
                <w:noProof/>
                <w:webHidden/>
              </w:rPr>
              <w:t>17</w:t>
            </w:r>
            <w:r>
              <w:rPr>
                <w:noProof/>
                <w:webHidden/>
              </w:rPr>
              <w:fldChar w:fldCharType="end"/>
            </w:r>
          </w:hyperlink>
        </w:p>
        <w:p w14:paraId="622EBC8E" w14:textId="7D7A2BFE"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20" w:history="1">
            <w:r w:rsidRPr="002C41DC">
              <w:rPr>
                <w:rStyle w:val="Lienhypertexte"/>
                <w:noProof/>
              </w:rPr>
              <w:t>1.5.</w:t>
            </w:r>
            <w:r>
              <w:rPr>
                <w:rFonts w:eastAsiaTheme="minorEastAsia"/>
                <w:noProof/>
                <w:kern w:val="2"/>
                <w:sz w:val="24"/>
                <w:szCs w:val="24"/>
                <w:lang w:eastAsia="fr-FR"/>
                <w14:ligatures w14:val="standardContextual"/>
              </w:rPr>
              <w:tab/>
            </w:r>
            <w:r w:rsidRPr="002C41DC">
              <w:rPr>
                <w:rStyle w:val="Lienhypertexte"/>
                <w:noProof/>
              </w:rPr>
              <w:t>Problématisation</w:t>
            </w:r>
            <w:r>
              <w:rPr>
                <w:noProof/>
                <w:webHidden/>
              </w:rPr>
              <w:tab/>
            </w:r>
            <w:r>
              <w:rPr>
                <w:noProof/>
                <w:webHidden/>
              </w:rPr>
              <w:fldChar w:fldCharType="begin"/>
            </w:r>
            <w:r>
              <w:rPr>
                <w:noProof/>
                <w:webHidden/>
              </w:rPr>
              <w:instrText xml:space="preserve"> PAGEREF _Toc221704620 \h </w:instrText>
            </w:r>
            <w:r>
              <w:rPr>
                <w:noProof/>
                <w:webHidden/>
              </w:rPr>
            </w:r>
            <w:r>
              <w:rPr>
                <w:noProof/>
                <w:webHidden/>
              </w:rPr>
              <w:fldChar w:fldCharType="separate"/>
            </w:r>
            <w:r w:rsidR="00B93EA8">
              <w:rPr>
                <w:noProof/>
                <w:webHidden/>
              </w:rPr>
              <w:t>18</w:t>
            </w:r>
            <w:r>
              <w:rPr>
                <w:noProof/>
                <w:webHidden/>
              </w:rPr>
              <w:fldChar w:fldCharType="end"/>
            </w:r>
          </w:hyperlink>
        </w:p>
        <w:p w14:paraId="360488ED" w14:textId="5921B63F" w:rsidR="00983D9E" w:rsidRDefault="00983D9E">
          <w:pPr>
            <w:pStyle w:val="TM1"/>
            <w:tabs>
              <w:tab w:val="left" w:pos="440"/>
            </w:tabs>
            <w:rPr>
              <w:rFonts w:eastAsiaTheme="minorEastAsia"/>
              <w:noProof/>
              <w:kern w:val="2"/>
              <w:sz w:val="24"/>
              <w:szCs w:val="24"/>
              <w:lang w:eastAsia="fr-FR"/>
              <w14:ligatures w14:val="standardContextual"/>
            </w:rPr>
          </w:pPr>
          <w:hyperlink w:anchor="_Toc221704621" w:history="1">
            <w:r w:rsidRPr="002C41DC">
              <w:rPr>
                <w:rStyle w:val="Lienhypertexte"/>
                <w:noProof/>
              </w:rPr>
              <w:t>2.</w:t>
            </w:r>
            <w:r>
              <w:rPr>
                <w:rFonts w:eastAsiaTheme="minorEastAsia"/>
                <w:noProof/>
                <w:kern w:val="2"/>
                <w:sz w:val="24"/>
                <w:szCs w:val="24"/>
                <w:lang w:eastAsia="fr-FR"/>
                <w14:ligatures w14:val="standardContextual"/>
              </w:rPr>
              <w:tab/>
            </w:r>
            <w:r w:rsidRPr="002C41DC">
              <w:rPr>
                <w:rStyle w:val="Lienhypertexte"/>
                <w:noProof/>
              </w:rPr>
              <w:t>Méthodologie de recherche</w:t>
            </w:r>
            <w:r>
              <w:rPr>
                <w:noProof/>
                <w:webHidden/>
              </w:rPr>
              <w:tab/>
            </w:r>
            <w:r>
              <w:rPr>
                <w:noProof/>
                <w:webHidden/>
              </w:rPr>
              <w:fldChar w:fldCharType="begin"/>
            </w:r>
            <w:r>
              <w:rPr>
                <w:noProof/>
                <w:webHidden/>
              </w:rPr>
              <w:instrText xml:space="preserve"> PAGEREF _Toc221704621 \h </w:instrText>
            </w:r>
            <w:r>
              <w:rPr>
                <w:noProof/>
                <w:webHidden/>
              </w:rPr>
            </w:r>
            <w:r>
              <w:rPr>
                <w:noProof/>
                <w:webHidden/>
              </w:rPr>
              <w:fldChar w:fldCharType="separate"/>
            </w:r>
            <w:r w:rsidR="00B93EA8">
              <w:rPr>
                <w:noProof/>
                <w:webHidden/>
              </w:rPr>
              <w:t>21</w:t>
            </w:r>
            <w:r>
              <w:rPr>
                <w:noProof/>
                <w:webHidden/>
              </w:rPr>
              <w:fldChar w:fldCharType="end"/>
            </w:r>
          </w:hyperlink>
        </w:p>
        <w:p w14:paraId="6705B0CE" w14:textId="6B8C084C"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22" w:history="1">
            <w:r w:rsidRPr="002C41DC">
              <w:rPr>
                <w:rStyle w:val="Lienhypertexte"/>
                <w:rFonts w:cstheme="minorHAnsi"/>
                <w:noProof/>
              </w:rPr>
              <w:t>2.1.</w:t>
            </w:r>
            <w:r>
              <w:rPr>
                <w:rFonts w:eastAsiaTheme="minorEastAsia"/>
                <w:noProof/>
                <w:kern w:val="2"/>
                <w:sz w:val="24"/>
                <w:szCs w:val="24"/>
                <w:lang w:eastAsia="fr-FR"/>
                <w14:ligatures w14:val="standardContextual"/>
              </w:rPr>
              <w:tab/>
            </w:r>
            <w:r w:rsidRPr="002C41DC">
              <w:rPr>
                <w:rStyle w:val="Lienhypertexte"/>
                <w:rFonts w:cstheme="minorHAnsi"/>
                <w:noProof/>
              </w:rPr>
              <w:t>Les principes du questionnaire</w:t>
            </w:r>
            <w:r>
              <w:rPr>
                <w:noProof/>
                <w:webHidden/>
              </w:rPr>
              <w:tab/>
            </w:r>
            <w:r>
              <w:rPr>
                <w:noProof/>
                <w:webHidden/>
              </w:rPr>
              <w:fldChar w:fldCharType="begin"/>
            </w:r>
            <w:r>
              <w:rPr>
                <w:noProof/>
                <w:webHidden/>
              </w:rPr>
              <w:instrText xml:space="preserve"> PAGEREF _Toc221704622 \h </w:instrText>
            </w:r>
            <w:r>
              <w:rPr>
                <w:noProof/>
                <w:webHidden/>
              </w:rPr>
            </w:r>
            <w:r>
              <w:rPr>
                <w:noProof/>
                <w:webHidden/>
              </w:rPr>
              <w:fldChar w:fldCharType="separate"/>
            </w:r>
            <w:r w:rsidR="00B93EA8">
              <w:rPr>
                <w:noProof/>
                <w:webHidden/>
              </w:rPr>
              <w:t>21</w:t>
            </w:r>
            <w:r>
              <w:rPr>
                <w:noProof/>
                <w:webHidden/>
              </w:rPr>
              <w:fldChar w:fldCharType="end"/>
            </w:r>
          </w:hyperlink>
        </w:p>
        <w:p w14:paraId="605CBE54" w14:textId="5C1B81BD"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23" w:history="1">
            <w:r w:rsidRPr="002C41DC">
              <w:rPr>
                <w:rStyle w:val="Lienhypertexte"/>
                <w:rFonts w:cstheme="minorHAnsi"/>
                <w:noProof/>
              </w:rPr>
              <w:t>2.1.1.</w:t>
            </w:r>
            <w:r>
              <w:rPr>
                <w:rFonts w:eastAsiaTheme="minorEastAsia"/>
                <w:noProof/>
                <w:kern w:val="2"/>
                <w:sz w:val="24"/>
                <w:szCs w:val="24"/>
                <w:lang w:eastAsia="fr-FR"/>
                <w14:ligatures w14:val="standardContextual"/>
              </w:rPr>
              <w:tab/>
            </w:r>
            <w:r w:rsidRPr="002C41DC">
              <w:rPr>
                <w:rStyle w:val="Lienhypertexte"/>
                <w:rFonts w:cstheme="minorHAnsi"/>
                <w:noProof/>
              </w:rPr>
              <w:t>Objectifs</w:t>
            </w:r>
            <w:r>
              <w:rPr>
                <w:noProof/>
                <w:webHidden/>
              </w:rPr>
              <w:tab/>
            </w:r>
            <w:r>
              <w:rPr>
                <w:noProof/>
                <w:webHidden/>
              </w:rPr>
              <w:fldChar w:fldCharType="begin"/>
            </w:r>
            <w:r>
              <w:rPr>
                <w:noProof/>
                <w:webHidden/>
              </w:rPr>
              <w:instrText xml:space="preserve"> PAGEREF _Toc221704623 \h </w:instrText>
            </w:r>
            <w:r>
              <w:rPr>
                <w:noProof/>
                <w:webHidden/>
              </w:rPr>
            </w:r>
            <w:r>
              <w:rPr>
                <w:noProof/>
                <w:webHidden/>
              </w:rPr>
              <w:fldChar w:fldCharType="separate"/>
            </w:r>
            <w:r w:rsidR="00B93EA8">
              <w:rPr>
                <w:noProof/>
                <w:webHidden/>
              </w:rPr>
              <w:t>21</w:t>
            </w:r>
            <w:r>
              <w:rPr>
                <w:noProof/>
                <w:webHidden/>
              </w:rPr>
              <w:fldChar w:fldCharType="end"/>
            </w:r>
          </w:hyperlink>
        </w:p>
        <w:p w14:paraId="60FE8125" w14:textId="786057E8"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24" w:history="1">
            <w:r w:rsidRPr="002C41DC">
              <w:rPr>
                <w:rStyle w:val="Lienhypertexte"/>
                <w:rFonts w:cstheme="minorHAnsi"/>
                <w:noProof/>
              </w:rPr>
              <w:t>2.1.2.</w:t>
            </w:r>
            <w:r>
              <w:rPr>
                <w:rFonts w:eastAsiaTheme="minorEastAsia"/>
                <w:noProof/>
                <w:kern w:val="2"/>
                <w:sz w:val="24"/>
                <w:szCs w:val="24"/>
                <w:lang w:eastAsia="fr-FR"/>
                <w14:ligatures w14:val="standardContextual"/>
              </w:rPr>
              <w:tab/>
            </w:r>
            <w:r w:rsidRPr="002C41DC">
              <w:rPr>
                <w:rStyle w:val="Lienhypertexte"/>
                <w:rFonts w:cstheme="minorHAnsi"/>
                <w:noProof/>
              </w:rPr>
              <w:t>Les étapes</w:t>
            </w:r>
            <w:r>
              <w:rPr>
                <w:noProof/>
                <w:webHidden/>
              </w:rPr>
              <w:tab/>
            </w:r>
            <w:r>
              <w:rPr>
                <w:noProof/>
                <w:webHidden/>
              </w:rPr>
              <w:fldChar w:fldCharType="begin"/>
            </w:r>
            <w:r>
              <w:rPr>
                <w:noProof/>
                <w:webHidden/>
              </w:rPr>
              <w:instrText xml:space="preserve"> PAGEREF _Toc221704624 \h </w:instrText>
            </w:r>
            <w:r>
              <w:rPr>
                <w:noProof/>
                <w:webHidden/>
              </w:rPr>
            </w:r>
            <w:r>
              <w:rPr>
                <w:noProof/>
                <w:webHidden/>
              </w:rPr>
              <w:fldChar w:fldCharType="separate"/>
            </w:r>
            <w:r w:rsidR="00B93EA8">
              <w:rPr>
                <w:noProof/>
                <w:webHidden/>
              </w:rPr>
              <w:t>21</w:t>
            </w:r>
            <w:r>
              <w:rPr>
                <w:noProof/>
                <w:webHidden/>
              </w:rPr>
              <w:fldChar w:fldCharType="end"/>
            </w:r>
          </w:hyperlink>
        </w:p>
        <w:p w14:paraId="1EAD401C" w14:textId="1BF01225"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25" w:history="1">
            <w:r w:rsidRPr="002C41DC">
              <w:rPr>
                <w:rStyle w:val="Lienhypertexte"/>
                <w:rFonts w:cstheme="minorHAnsi"/>
                <w:noProof/>
              </w:rPr>
              <w:t>2.2.</w:t>
            </w:r>
            <w:r>
              <w:rPr>
                <w:rFonts w:eastAsiaTheme="minorEastAsia"/>
                <w:noProof/>
                <w:kern w:val="2"/>
                <w:sz w:val="24"/>
                <w:szCs w:val="24"/>
                <w:lang w:eastAsia="fr-FR"/>
                <w14:ligatures w14:val="standardContextual"/>
              </w:rPr>
              <w:tab/>
            </w:r>
            <w:r w:rsidRPr="002C41DC">
              <w:rPr>
                <w:rStyle w:val="Lienhypertexte"/>
                <w:rFonts w:cstheme="minorHAnsi"/>
                <w:noProof/>
              </w:rPr>
              <w:t>Construction du questionnaire</w:t>
            </w:r>
            <w:r>
              <w:rPr>
                <w:noProof/>
                <w:webHidden/>
              </w:rPr>
              <w:tab/>
            </w:r>
            <w:r>
              <w:rPr>
                <w:noProof/>
                <w:webHidden/>
              </w:rPr>
              <w:fldChar w:fldCharType="begin"/>
            </w:r>
            <w:r>
              <w:rPr>
                <w:noProof/>
                <w:webHidden/>
              </w:rPr>
              <w:instrText xml:space="preserve"> PAGEREF _Toc221704625 \h </w:instrText>
            </w:r>
            <w:r>
              <w:rPr>
                <w:noProof/>
                <w:webHidden/>
              </w:rPr>
            </w:r>
            <w:r>
              <w:rPr>
                <w:noProof/>
                <w:webHidden/>
              </w:rPr>
              <w:fldChar w:fldCharType="separate"/>
            </w:r>
            <w:r w:rsidR="00B93EA8">
              <w:rPr>
                <w:noProof/>
                <w:webHidden/>
              </w:rPr>
              <w:t>22</w:t>
            </w:r>
            <w:r>
              <w:rPr>
                <w:noProof/>
                <w:webHidden/>
              </w:rPr>
              <w:fldChar w:fldCharType="end"/>
            </w:r>
          </w:hyperlink>
        </w:p>
        <w:p w14:paraId="77813993" w14:textId="44BDA3A6"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26" w:history="1">
            <w:r w:rsidRPr="002C41DC">
              <w:rPr>
                <w:rStyle w:val="Lienhypertexte"/>
                <w:rFonts w:cstheme="minorHAnsi"/>
                <w:noProof/>
              </w:rPr>
              <w:t>2.2.1.</w:t>
            </w:r>
            <w:r>
              <w:rPr>
                <w:rFonts w:eastAsiaTheme="minorEastAsia"/>
                <w:noProof/>
                <w:kern w:val="2"/>
                <w:sz w:val="24"/>
                <w:szCs w:val="24"/>
                <w:lang w:eastAsia="fr-FR"/>
                <w14:ligatures w14:val="standardContextual"/>
              </w:rPr>
              <w:tab/>
            </w:r>
            <w:r w:rsidRPr="002C41DC">
              <w:rPr>
                <w:rStyle w:val="Lienhypertexte"/>
                <w:rFonts w:cstheme="minorHAnsi"/>
                <w:noProof/>
              </w:rPr>
              <w:t>Les composantes nécessaires</w:t>
            </w:r>
            <w:r>
              <w:rPr>
                <w:noProof/>
                <w:webHidden/>
              </w:rPr>
              <w:tab/>
            </w:r>
            <w:r>
              <w:rPr>
                <w:noProof/>
                <w:webHidden/>
              </w:rPr>
              <w:fldChar w:fldCharType="begin"/>
            </w:r>
            <w:r>
              <w:rPr>
                <w:noProof/>
                <w:webHidden/>
              </w:rPr>
              <w:instrText xml:space="preserve"> PAGEREF _Toc221704626 \h </w:instrText>
            </w:r>
            <w:r>
              <w:rPr>
                <w:noProof/>
                <w:webHidden/>
              </w:rPr>
            </w:r>
            <w:r>
              <w:rPr>
                <w:noProof/>
                <w:webHidden/>
              </w:rPr>
              <w:fldChar w:fldCharType="separate"/>
            </w:r>
            <w:r w:rsidR="00B93EA8">
              <w:rPr>
                <w:noProof/>
                <w:webHidden/>
              </w:rPr>
              <w:t>22</w:t>
            </w:r>
            <w:r>
              <w:rPr>
                <w:noProof/>
                <w:webHidden/>
              </w:rPr>
              <w:fldChar w:fldCharType="end"/>
            </w:r>
          </w:hyperlink>
        </w:p>
        <w:p w14:paraId="338AC094" w14:textId="2A3FB75D"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27" w:history="1">
            <w:r w:rsidRPr="002C41DC">
              <w:rPr>
                <w:rStyle w:val="Lienhypertexte"/>
                <w:noProof/>
              </w:rPr>
              <w:t>2.2.2.</w:t>
            </w:r>
            <w:r>
              <w:rPr>
                <w:rFonts w:eastAsiaTheme="minorEastAsia"/>
                <w:noProof/>
                <w:kern w:val="2"/>
                <w:sz w:val="24"/>
                <w:szCs w:val="24"/>
                <w:lang w:eastAsia="fr-FR"/>
                <w14:ligatures w14:val="standardContextual"/>
              </w:rPr>
              <w:tab/>
            </w:r>
            <w:r w:rsidRPr="002C41DC">
              <w:rPr>
                <w:rStyle w:val="Lienhypertexte"/>
                <w:noProof/>
              </w:rPr>
              <w:t>Population et échantillon</w:t>
            </w:r>
            <w:r>
              <w:rPr>
                <w:noProof/>
                <w:webHidden/>
              </w:rPr>
              <w:tab/>
            </w:r>
            <w:r>
              <w:rPr>
                <w:noProof/>
                <w:webHidden/>
              </w:rPr>
              <w:fldChar w:fldCharType="begin"/>
            </w:r>
            <w:r>
              <w:rPr>
                <w:noProof/>
                <w:webHidden/>
              </w:rPr>
              <w:instrText xml:space="preserve"> PAGEREF _Toc221704627 \h </w:instrText>
            </w:r>
            <w:r>
              <w:rPr>
                <w:noProof/>
                <w:webHidden/>
              </w:rPr>
            </w:r>
            <w:r>
              <w:rPr>
                <w:noProof/>
                <w:webHidden/>
              </w:rPr>
              <w:fldChar w:fldCharType="separate"/>
            </w:r>
            <w:r w:rsidR="00B93EA8">
              <w:rPr>
                <w:noProof/>
                <w:webHidden/>
              </w:rPr>
              <w:t>22</w:t>
            </w:r>
            <w:r>
              <w:rPr>
                <w:noProof/>
                <w:webHidden/>
              </w:rPr>
              <w:fldChar w:fldCharType="end"/>
            </w:r>
          </w:hyperlink>
        </w:p>
        <w:p w14:paraId="6D0AB120" w14:textId="297646BA"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28" w:history="1">
            <w:r w:rsidRPr="002C41DC">
              <w:rPr>
                <w:rStyle w:val="Lienhypertexte"/>
                <w:rFonts w:cstheme="minorHAnsi"/>
                <w:noProof/>
              </w:rPr>
              <w:t>2.2.3.</w:t>
            </w:r>
            <w:r>
              <w:rPr>
                <w:rFonts w:eastAsiaTheme="minorEastAsia"/>
                <w:noProof/>
                <w:kern w:val="2"/>
                <w:sz w:val="24"/>
                <w:szCs w:val="24"/>
                <w:lang w:eastAsia="fr-FR"/>
                <w14:ligatures w14:val="standardContextual"/>
              </w:rPr>
              <w:tab/>
            </w:r>
            <w:r w:rsidRPr="002C41DC">
              <w:rPr>
                <w:rStyle w:val="Lienhypertexte"/>
                <w:rFonts w:cstheme="minorHAnsi"/>
                <w:noProof/>
              </w:rPr>
              <w:t>Questions</w:t>
            </w:r>
            <w:r>
              <w:rPr>
                <w:noProof/>
                <w:webHidden/>
              </w:rPr>
              <w:tab/>
            </w:r>
            <w:r>
              <w:rPr>
                <w:noProof/>
                <w:webHidden/>
              </w:rPr>
              <w:fldChar w:fldCharType="begin"/>
            </w:r>
            <w:r>
              <w:rPr>
                <w:noProof/>
                <w:webHidden/>
              </w:rPr>
              <w:instrText xml:space="preserve"> PAGEREF _Toc221704628 \h </w:instrText>
            </w:r>
            <w:r>
              <w:rPr>
                <w:noProof/>
                <w:webHidden/>
              </w:rPr>
            </w:r>
            <w:r>
              <w:rPr>
                <w:noProof/>
                <w:webHidden/>
              </w:rPr>
              <w:fldChar w:fldCharType="separate"/>
            </w:r>
            <w:r w:rsidR="00B93EA8">
              <w:rPr>
                <w:noProof/>
                <w:webHidden/>
              </w:rPr>
              <w:t>24</w:t>
            </w:r>
            <w:r>
              <w:rPr>
                <w:noProof/>
                <w:webHidden/>
              </w:rPr>
              <w:fldChar w:fldCharType="end"/>
            </w:r>
          </w:hyperlink>
        </w:p>
        <w:p w14:paraId="4E39FDC7" w14:textId="1A0345B2"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29" w:history="1">
            <w:r w:rsidRPr="002C41DC">
              <w:rPr>
                <w:rStyle w:val="Lienhypertexte"/>
                <w:rFonts w:cstheme="minorHAnsi"/>
                <w:noProof/>
              </w:rPr>
              <w:t>2.3.</w:t>
            </w:r>
            <w:r>
              <w:rPr>
                <w:rFonts w:eastAsiaTheme="minorEastAsia"/>
                <w:noProof/>
                <w:kern w:val="2"/>
                <w:sz w:val="24"/>
                <w:szCs w:val="24"/>
                <w:lang w:eastAsia="fr-FR"/>
                <w14:ligatures w14:val="standardContextual"/>
              </w:rPr>
              <w:tab/>
            </w:r>
            <w:r w:rsidRPr="002C41DC">
              <w:rPr>
                <w:rStyle w:val="Lienhypertexte"/>
                <w:rFonts w:cstheme="minorHAnsi"/>
                <w:noProof/>
              </w:rPr>
              <w:t>Les biais</w:t>
            </w:r>
            <w:r>
              <w:rPr>
                <w:noProof/>
                <w:webHidden/>
              </w:rPr>
              <w:tab/>
            </w:r>
            <w:r>
              <w:rPr>
                <w:noProof/>
                <w:webHidden/>
              </w:rPr>
              <w:fldChar w:fldCharType="begin"/>
            </w:r>
            <w:r>
              <w:rPr>
                <w:noProof/>
                <w:webHidden/>
              </w:rPr>
              <w:instrText xml:space="preserve"> PAGEREF _Toc221704629 \h </w:instrText>
            </w:r>
            <w:r>
              <w:rPr>
                <w:noProof/>
                <w:webHidden/>
              </w:rPr>
            </w:r>
            <w:r>
              <w:rPr>
                <w:noProof/>
                <w:webHidden/>
              </w:rPr>
              <w:fldChar w:fldCharType="separate"/>
            </w:r>
            <w:r w:rsidR="00B93EA8">
              <w:rPr>
                <w:noProof/>
                <w:webHidden/>
              </w:rPr>
              <w:t>25</w:t>
            </w:r>
            <w:r>
              <w:rPr>
                <w:noProof/>
                <w:webHidden/>
              </w:rPr>
              <w:fldChar w:fldCharType="end"/>
            </w:r>
          </w:hyperlink>
        </w:p>
        <w:p w14:paraId="21C99D60" w14:textId="23A6524B"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0" w:history="1">
            <w:r w:rsidRPr="002C41DC">
              <w:rPr>
                <w:rStyle w:val="Lienhypertexte"/>
                <w:rFonts w:cstheme="minorHAnsi"/>
                <w:noProof/>
              </w:rPr>
              <w:t>2.4.</w:t>
            </w:r>
            <w:r>
              <w:rPr>
                <w:rFonts w:eastAsiaTheme="minorEastAsia"/>
                <w:noProof/>
                <w:kern w:val="2"/>
                <w:sz w:val="24"/>
                <w:szCs w:val="24"/>
                <w:lang w:eastAsia="fr-FR"/>
                <w14:ligatures w14:val="standardContextual"/>
              </w:rPr>
              <w:tab/>
            </w:r>
            <w:r w:rsidRPr="002C41DC">
              <w:rPr>
                <w:rStyle w:val="Lienhypertexte"/>
                <w:rFonts w:cstheme="minorHAnsi"/>
                <w:noProof/>
              </w:rPr>
              <w:t>Pré-test</w:t>
            </w:r>
            <w:r>
              <w:rPr>
                <w:noProof/>
                <w:webHidden/>
              </w:rPr>
              <w:tab/>
            </w:r>
            <w:r>
              <w:rPr>
                <w:noProof/>
                <w:webHidden/>
              </w:rPr>
              <w:fldChar w:fldCharType="begin"/>
            </w:r>
            <w:r>
              <w:rPr>
                <w:noProof/>
                <w:webHidden/>
              </w:rPr>
              <w:instrText xml:space="preserve"> PAGEREF _Toc221704630 \h </w:instrText>
            </w:r>
            <w:r>
              <w:rPr>
                <w:noProof/>
                <w:webHidden/>
              </w:rPr>
            </w:r>
            <w:r>
              <w:rPr>
                <w:noProof/>
                <w:webHidden/>
              </w:rPr>
              <w:fldChar w:fldCharType="separate"/>
            </w:r>
            <w:r w:rsidR="00B93EA8">
              <w:rPr>
                <w:noProof/>
                <w:webHidden/>
              </w:rPr>
              <w:t>26</w:t>
            </w:r>
            <w:r>
              <w:rPr>
                <w:noProof/>
                <w:webHidden/>
              </w:rPr>
              <w:fldChar w:fldCharType="end"/>
            </w:r>
          </w:hyperlink>
        </w:p>
        <w:p w14:paraId="4EA73CCC" w14:textId="7966DCAC"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1" w:history="1">
            <w:r w:rsidRPr="002C41DC">
              <w:rPr>
                <w:rStyle w:val="Lienhypertexte"/>
                <w:rFonts w:cstheme="minorHAnsi"/>
                <w:noProof/>
              </w:rPr>
              <w:t>2.5.</w:t>
            </w:r>
            <w:r>
              <w:rPr>
                <w:rFonts w:eastAsiaTheme="minorEastAsia"/>
                <w:noProof/>
                <w:kern w:val="2"/>
                <w:sz w:val="24"/>
                <w:szCs w:val="24"/>
                <w:lang w:eastAsia="fr-FR"/>
                <w14:ligatures w14:val="standardContextual"/>
              </w:rPr>
              <w:tab/>
            </w:r>
            <w:r w:rsidRPr="002C41DC">
              <w:rPr>
                <w:rStyle w:val="Lienhypertexte"/>
                <w:rFonts w:cstheme="minorHAnsi"/>
                <w:noProof/>
              </w:rPr>
              <w:t>Diffusion</w:t>
            </w:r>
            <w:r>
              <w:rPr>
                <w:noProof/>
                <w:webHidden/>
              </w:rPr>
              <w:tab/>
            </w:r>
            <w:r>
              <w:rPr>
                <w:noProof/>
                <w:webHidden/>
              </w:rPr>
              <w:fldChar w:fldCharType="begin"/>
            </w:r>
            <w:r>
              <w:rPr>
                <w:noProof/>
                <w:webHidden/>
              </w:rPr>
              <w:instrText xml:space="preserve"> PAGEREF _Toc221704631 \h </w:instrText>
            </w:r>
            <w:r>
              <w:rPr>
                <w:noProof/>
                <w:webHidden/>
              </w:rPr>
            </w:r>
            <w:r>
              <w:rPr>
                <w:noProof/>
                <w:webHidden/>
              </w:rPr>
              <w:fldChar w:fldCharType="separate"/>
            </w:r>
            <w:r w:rsidR="00B93EA8">
              <w:rPr>
                <w:noProof/>
                <w:webHidden/>
              </w:rPr>
              <w:t>27</w:t>
            </w:r>
            <w:r>
              <w:rPr>
                <w:noProof/>
                <w:webHidden/>
              </w:rPr>
              <w:fldChar w:fldCharType="end"/>
            </w:r>
          </w:hyperlink>
        </w:p>
        <w:p w14:paraId="00D43E8C" w14:textId="21316BB4"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2" w:history="1">
            <w:r w:rsidRPr="002C41DC">
              <w:rPr>
                <w:rStyle w:val="Lienhypertexte"/>
                <w:rFonts w:cstheme="minorHAnsi"/>
                <w:noProof/>
              </w:rPr>
              <w:t>2.6.</w:t>
            </w:r>
            <w:r>
              <w:rPr>
                <w:rFonts w:eastAsiaTheme="minorEastAsia"/>
                <w:noProof/>
                <w:kern w:val="2"/>
                <w:sz w:val="24"/>
                <w:szCs w:val="24"/>
                <w:lang w:eastAsia="fr-FR"/>
                <w14:ligatures w14:val="standardContextual"/>
              </w:rPr>
              <w:tab/>
            </w:r>
            <w:r w:rsidRPr="002C41DC">
              <w:rPr>
                <w:rStyle w:val="Lienhypertexte"/>
                <w:rFonts w:cstheme="minorHAnsi"/>
                <w:noProof/>
              </w:rPr>
              <w:t>Attentes et prévisions</w:t>
            </w:r>
            <w:r>
              <w:rPr>
                <w:noProof/>
                <w:webHidden/>
              </w:rPr>
              <w:tab/>
            </w:r>
            <w:r>
              <w:rPr>
                <w:noProof/>
                <w:webHidden/>
              </w:rPr>
              <w:fldChar w:fldCharType="begin"/>
            </w:r>
            <w:r>
              <w:rPr>
                <w:noProof/>
                <w:webHidden/>
              </w:rPr>
              <w:instrText xml:space="preserve"> PAGEREF _Toc221704632 \h </w:instrText>
            </w:r>
            <w:r>
              <w:rPr>
                <w:noProof/>
                <w:webHidden/>
              </w:rPr>
            </w:r>
            <w:r>
              <w:rPr>
                <w:noProof/>
                <w:webHidden/>
              </w:rPr>
              <w:fldChar w:fldCharType="separate"/>
            </w:r>
            <w:r w:rsidR="00B93EA8">
              <w:rPr>
                <w:noProof/>
                <w:webHidden/>
              </w:rPr>
              <w:t>28</w:t>
            </w:r>
            <w:r>
              <w:rPr>
                <w:noProof/>
                <w:webHidden/>
              </w:rPr>
              <w:fldChar w:fldCharType="end"/>
            </w:r>
          </w:hyperlink>
        </w:p>
        <w:p w14:paraId="69702B91" w14:textId="4163A1D9"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3" w:history="1">
            <w:r w:rsidRPr="002C41DC">
              <w:rPr>
                <w:rStyle w:val="Lienhypertexte"/>
                <w:rFonts w:cstheme="minorHAnsi"/>
                <w:noProof/>
              </w:rPr>
              <w:t>2.7.</w:t>
            </w:r>
            <w:r>
              <w:rPr>
                <w:rFonts w:eastAsiaTheme="minorEastAsia"/>
                <w:noProof/>
                <w:kern w:val="2"/>
                <w:sz w:val="24"/>
                <w:szCs w:val="24"/>
                <w:lang w:eastAsia="fr-FR"/>
                <w14:ligatures w14:val="standardContextual"/>
              </w:rPr>
              <w:tab/>
            </w:r>
            <w:r w:rsidRPr="002C41DC">
              <w:rPr>
                <w:rStyle w:val="Lienhypertexte"/>
                <w:rFonts w:cstheme="minorHAnsi"/>
                <w:noProof/>
              </w:rPr>
              <w:t>Analyse des données</w:t>
            </w:r>
            <w:r>
              <w:rPr>
                <w:noProof/>
                <w:webHidden/>
              </w:rPr>
              <w:tab/>
            </w:r>
            <w:r>
              <w:rPr>
                <w:noProof/>
                <w:webHidden/>
              </w:rPr>
              <w:fldChar w:fldCharType="begin"/>
            </w:r>
            <w:r>
              <w:rPr>
                <w:noProof/>
                <w:webHidden/>
              </w:rPr>
              <w:instrText xml:space="preserve"> PAGEREF _Toc221704633 \h </w:instrText>
            </w:r>
            <w:r>
              <w:rPr>
                <w:noProof/>
                <w:webHidden/>
              </w:rPr>
            </w:r>
            <w:r>
              <w:rPr>
                <w:noProof/>
                <w:webHidden/>
              </w:rPr>
              <w:fldChar w:fldCharType="separate"/>
            </w:r>
            <w:r w:rsidR="00B93EA8">
              <w:rPr>
                <w:noProof/>
                <w:webHidden/>
              </w:rPr>
              <w:t>29</w:t>
            </w:r>
            <w:r>
              <w:rPr>
                <w:noProof/>
                <w:webHidden/>
              </w:rPr>
              <w:fldChar w:fldCharType="end"/>
            </w:r>
          </w:hyperlink>
        </w:p>
        <w:p w14:paraId="0F44480D" w14:textId="3C0517A3"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4" w:history="1">
            <w:r w:rsidRPr="002C41DC">
              <w:rPr>
                <w:rStyle w:val="Lienhypertexte"/>
                <w:noProof/>
              </w:rPr>
              <w:t>2.8.</w:t>
            </w:r>
            <w:r>
              <w:rPr>
                <w:rFonts w:eastAsiaTheme="minorEastAsia"/>
                <w:noProof/>
                <w:kern w:val="2"/>
                <w:sz w:val="24"/>
                <w:szCs w:val="24"/>
                <w:lang w:eastAsia="fr-FR"/>
                <w14:ligatures w14:val="standardContextual"/>
              </w:rPr>
              <w:tab/>
            </w:r>
            <w:r w:rsidRPr="002C41DC">
              <w:rPr>
                <w:rStyle w:val="Lienhypertexte"/>
                <w:noProof/>
              </w:rPr>
              <w:t>Considérations éthiques et administratives</w:t>
            </w:r>
            <w:r>
              <w:rPr>
                <w:noProof/>
                <w:webHidden/>
              </w:rPr>
              <w:tab/>
            </w:r>
            <w:r>
              <w:rPr>
                <w:noProof/>
                <w:webHidden/>
              </w:rPr>
              <w:fldChar w:fldCharType="begin"/>
            </w:r>
            <w:r>
              <w:rPr>
                <w:noProof/>
                <w:webHidden/>
              </w:rPr>
              <w:instrText xml:space="preserve"> PAGEREF _Toc221704634 \h </w:instrText>
            </w:r>
            <w:r>
              <w:rPr>
                <w:noProof/>
                <w:webHidden/>
              </w:rPr>
            </w:r>
            <w:r>
              <w:rPr>
                <w:noProof/>
                <w:webHidden/>
              </w:rPr>
              <w:fldChar w:fldCharType="separate"/>
            </w:r>
            <w:r w:rsidR="00B93EA8">
              <w:rPr>
                <w:noProof/>
                <w:webHidden/>
              </w:rPr>
              <w:t>31</w:t>
            </w:r>
            <w:r>
              <w:rPr>
                <w:noProof/>
                <w:webHidden/>
              </w:rPr>
              <w:fldChar w:fldCharType="end"/>
            </w:r>
          </w:hyperlink>
        </w:p>
        <w:p w14:paraId="498CC8A7" w14:textId="0BAD7E4C" w:rsidR="00983D9E" w:rsidRDefault="00983D9E">
          <w:pPr>
            <w:pStyle w:val="TM1"/>
            <w:tabs>
              <w:tab w:val="left" w:pos="440"/>
            </w:tabs>
            <w:rPr>
              <w:rFonts w:eastAsiaTheme="minorEastAsia"/>
              <w:noProof/>
              <w:kern w:val="2"/>
              <w:sz w:val="24"/>
              <w:szCs w:val="24"/>
              <w:lang w:eastAsia="fr-FR"/>
              <w14:ligatures w14:val="standardContextual"/>
            </w:rPr>
          </w:pPr>
          <w:hyperlink w:anchor="_Toc221704635" w:history="1">
            <w:r w:rsidRPr="002C41DC">
              <w:rPr>
                <w:rStyle w:val="Lienhypertexte"/>
                <w:noProof/>
              </w:rPr>
              <w:t>3.</w:t>
            </w:r>
            <w:r>
              <w:rPr>
                <w:rFonts w:eastAsiaTheme="minorEastAsia"/>
                <w:noProof/>
                <w:kern w:val="2"/>
                <w:sz w:val="24"/>
                <w:szCs w:val="24"/>
                <w:lang w:eastAsia="fr-FR"/>
                <w14:ligatures w14:val="standardContextual"/>
              </w:rPr>
              <w:tab/>
            </w:r>
            <w:r w:rsidRPr="002C41DC">
              <w:rPr>
                <w:rStyle w:val="Lienhypertexte"/>
                <w:noProof/>
              </w:rPr>
              <w:t>Résultats</w:t>
            </w:r>
            <w:r>
              <w:rPr>
                <w:noProof/>
                <w:webHidden/>
              </w:rPr>
              <w:tab/>
            </w:r>
            <w:r>
              <w:rPr>
                <w:noProof/>
                <w:webHidden/>
              </w:rPr>
              <w:fldChar w:fldCharType="begin"/>
            </w:r>
            <w:r>
              <w:rPr>
                <w:noProof/>
                <w:webHidden/>
              </w:rPr>
              <w:instrText xml:space="preserve"> PAGEREF _Toc221704635 \h </w:instrText>
            </w:r>
            <w:r>
              <w:rPr>
                <w:noProof/>
                <w:webHidden/>
              </w:rPr>
            </w:r>
            <w:r>
              <w:rPr>
                <w:noProof/>
                <w:webHidden/>
              </w:rPr>
              <w:fldChar w:fldCharType="separate"/>
            </w:r>
            <w:r w:rsidR="00B93EA8">
              <w:rPr>
                <w:noProof/>
                <w:webHidden/>
              </w:rPr>
              <w:t>32</w:t>
            </w:r>
            <w:r>
              <w:rPr>
                <w:noProof/>
                <w:webHidden/>
              </w:rPr>
              <w:fldChar w:fldCharType="end"/>
            </w:r>
          </w:hyperlink>
        </w:p>
        <w:p w14:paraId="38FA95C5" w14:textId="47450003"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6" w:history="1">
            <w:r w:rsidRPr="002C41DC">
              <w:rPr>
                <w:rStyle w:val="Lienhypertexte"/>
                <w:noProof/>
              </w:rPr>
              <w:t>3.1.</w:t>
            </w:r>
            <w:r>
              <w:rPr>
                <w:rFonts w:eastAsiaTheme="minorEastAsia"/>
                <w:noProof/>
                <w:kern w:val="2"/>
                <w:sz w:val="24"/>
                <w:szCs w:val="24"/>
                <w:lang w:eastAsia="fr-FR"/>
                <w14:ligatures w14:val="standardContextual"/>
              </w:rPr>
              <w:tab/>
            </w:r>
            <w:r w:rsidRPr="002C41DC">
              <w:rPr>
                <w:rStyle w:val="Lienhypertexte"/>
                <w:noProof/>
              </w:rPr>
              <w:t>Caractéristiques socio-démographiques</w:t>
            </w:r>
            <w:r>
              <w:rPr>
                <w:noProof/>
                <w:webHidden/>
              </w:rPr>
              <w:tab/>
            </w:r>
            <w:r>
              <w:rPr>
                <w:noProof/>
                <w:webHidden/>
              </w:rPr>
              <w:fldChar w:fldCharType="begin"/>
            </w:r>
            <w:r>
              <w:rPr>
                <w:noProof/>
                <w:webHidden/>
              </w:rPr>
              <w:instrText xml:space="preserve"> PAGEREF _Toc221704636 \h </w:instrText>
            </w:r>
            <w:r>
              <w:rPr>
                <w:noProof/>
                <w:webHidden/>
              </w:rPr>
            </w:r>
            <w:r>
              <w:rPr>
                <w:noProof/>
                <w:webHidden/>
              </w:rPr>
              <w:fldChar w:fldCharType="separate"/>
            </w:r>
            <w:r w:rsidR="00B93EA8">
              <w:rPr>
                <w:noProof/>
                <w:webHidden/>
              </w:rPr>
              <w:t>32</w:t>
            </w:r>
            <w:r>
              <w:rPr>
                <w:noProof/>
                <w:webHidden/>
              </w:rPr>
              <w:fldChar w:fldCharType="end"/>
            </w:r>
          </w:hyperlink>
        </w:p>
        <w:p w14:paraId="00507E03" w14:textId="4EB95549"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7" w:history="1">
            <w:r w:rsidRPr="002C41DC">
              <w:rPr>
                <w:rStyle w:val="Lienhypertexte"/>
                <w:noProof/>
              </w:rPr>
              <w:t>3.2.</w:t>
            </w:r>
            <w:r>
              <w:rPr>
                <w:rFonts w:eastAsiaTheme="minorEastAsia"/>
                <w:noProof/>
                <w:kern w:val="2"/>
                <w:sz w:val="24"/>
                <w:szCs w:val="24"/>
                <w:lang w:eastAsia="fr-FR"/>
                <w14:ligatures w14:val="standardContextual"/>
              </w:rPr>
              <w:tab/>
            </w:r>
            <w:r w:rsidRPr="002C41DC">
              <w:rPr>
                <w:rStyle w:val="Lienhypertexte"/>
                <w:noProof/>
              </w:rPr>
              <w:t>Pratiques générales d’évaluation de l’équilibre</w:t>
            </w:r>
            <w:r>
              <w:rPr>
                <w:noProof/>
                <w:webHidden/>
              </w:rPr>
              <w:tab/>
            </w:r>
            <w:r>
              <w:rPr>
                <w:noProof/>
                <w:webHidden/>
              </w:rPr>
              <w:fldChar w:fldCharType="begin"/>
            </w:r>
            <w:r>
              <w:rPr>
                <w:noProof/>
                <w:webHidden/>
              </w:rPr>
              <w:instrText xml:space="preserve"> PAGEREF _Toc221704637 \h </w:instrText>
            </w:r>
            <w:r>
              <w:rPr>
                <w:noProof/>
                <w:webHidden/>
              </w:rPr>
            </w:r>
            <w:r>
              <w:rPr>
                <w:noProof/>
                <w:webHidden/>
              </w:rPr>
              <w:fldChar w:fldCharType="separate"/>
            </w:r>
            <w:r w:rsidR="00B93EA8">
              <w:rPr>
                <w:noProof/>
                <w:webHidden/>
              </w:rPr>
              <w:t>35</w:t>
            </w:r>
            <w:r>
              <w:rPr>
                <w:noProof/>
                <w:webHidden/>
              </w:rPr>
              <w:fldChar w:fldCharType="end"/>
            </w:r>
          </w:hyperlink>
        </w:p>
        <w:p w14:paraId="2AFEEB98" w14:textId="0C9790B7" w:rsidR="00983D9E" w:rsidRDefault="00983D9E">
          <w:pPr>
            <w:pStyle w:val="TM1"/>
            <w:tabs>
              <w:tab w:val="left" w:pos="440"/>
            </w:tabs>
            <w:rPr>
              <w:rFonts w:eastAsiaTheme="minorEastAsia"/>
              <w:noProof/>
              <w:kern w:val="2"/>
              <w:sz w:val="24"/>
              <w:szCs w:val="24"/>
              <w:lang w:eastAsia="fr-FR"/>
              <w14:ligatures w14:val="standardContextual"/>
            </w:rPr>
          </w:pPr>
          <w:hyperlink w:anchor="_Toc221704638" w:history="1">
            <w:r w:rsidRPr="002C41DC">
              <w:rPr>
                <w:rStyle w:val="Lienhypertexte"/>
                <w:noProof/>
              </w:rPr>
              <w:t>4.</w:t>
            </w:r>
            <w:r>
              <w:rPr>
                <w:rFonts w:eastAsiaTheme="minorEastAsia"/>
                <w:noProof/>
                <w:kern w:val="2"/>
                <w:sz w:val="24"/>
                <w:szCs w:val="24"/>
                <w:lang w:eastAsia="fr-FR"/>
                <w14:ligatures w14:val="standardContextual"/>
              </w:rPr>
              <w:tab/>
            </w:r>
            <w:r w:rsidRPr="002C41DC">
              <w:rPr>
                <w:rStyle w:val="Lienhypertexte"/>
                <w:noProof/>
              </w:rPr>
              <w:t>Discussion</w:t>
            </w:r>
            <w:r>
              <w:rPr>
                <w:noProof/>
                <w:webHidden/>
              </w:rPr>
              <w:tab/>
            </w:r>
            <w:r>
              <w:rPr>
                <w:noProof/>
                <w:webHidden/>
              </w:rPr>
              <w:fldChar w:fldCharType="begin"/>
            </w:r>
            <w:r>
              <w:rPr>
                <w:noProof/>
                <w:webHidden/>
              </w:rPr>
              <w:instrText xml:space="preserve"> PAGEREF _Toc221704638 \h </w:instrText>
            </w:r>
            <w:r>
              <w:rPr>
                <w:noProof/>
                <w:webHidden/>
              </w:rPr>
            </w:r>
            <w:r>
              <w:rPr>
                <w:noProof/>
                <w:webHidden/>
              </w:rPr>
              <w:fldChar w:fldCharType="separate"/>
            </w:r>
            <w:r w:rsidR="00B93EA8">
              <w:rPr>
                <w:noProof/>
                <w:webHidden/>
              </w:rPr>
              <w:t>43</w:t>
            </w:r>
            <w:r>
              <w:rPr>
                <w:noProof/>
                <w:webHidden/>
              </w:rPr>
              <w:fldChar w:fldCharType="end"/>
            </w:r>
          </w:hyperlink>
        </w:p>
        <w:p w14:paraId="10A0EA09" w14:textId="2375B549"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39" w:history="1">
            <w:r w:rsidRPr="002C41DC">
              <w:rPr>
                <w:rStyle w:val="Lienhypertexte"/>
                <w:noProof/>
              </w:rPr>
              <w:t>4.1.</w:t>
            </w:r>
            <w:r>
              <w:rPr>
                <w:rFonts w:eastAsiaTheme="minorEastAsia"/>
                <w:noProof/>
                <w:kern w:val="2"/>
                <w:sz w:val="24"/>
                <w:szCs w:val="24"/>
                <w:lang w:eastAsia="fr-FR"/>
                <w14:ligatures w14:val="standardContextual"/>
              </w:rPr>
              <w:tab/>
            </w:r>
            <w:r w:rsidRPr="002C41DC">
              <w:rPr>
                <w:rStyle w:val="Lienhypertexte"/>
                <w:noProof/>
              </w:rPr>
              <w:t>Analyse des résultats</w:t>
            </w:r>
            <w:r>
              <w:rPr>
                <w:noProof/>
                <w:webHidden/>
              </w:rPr>
              <w:tab/>
            </w:r>
            <w:r>
              <w:rPr>
                <w:noProof/>
                <w:webHidden/>
              </w:rPr>
              <w:fldChar w:fldCharType="begin"/>
            </w:r>
            <w:r>
              <w:rPr>
                <w:noProof/>
                <w:webHidden/>
              </w:rPr>
              <w:instrText xml:space="preserve"> PAGEREF _Toc221704639 \h </w:instrText>
            </w:r>
            <w:r>
              <w:rPr>
                <w:noProof/>
                <w:webHidden/>
              </w:rPr>
            </w:r>
            <w:r>
              <w:rPr>
                <w:noProof/>
                <w:webHidden/>
              </w:rPr>
              <w:fldChar w:fldCharType="separate"/>
            </w:r>
            <w:r w:rsidR="00B93EA8">
              <w:rPr>
                <w:noProof/>
                <w:webHidden/>
              </w:rPr>
              <w:t>43</w:t>
            </w:r>
            <w:r>
              <w:rPr>
                <w:noProof/>
                <w:webHidden/>
              </w:rPr>
              <w:fldChar w:fldCharType="end"/>
            </w:r>
          </w:hyperlink>
        </w:p>
        <w:p w14:paraId="083F0588" w14:textId="3F82CB3D"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0" w:history="1">
            <w:r w:rsidRPr="002C41DC">
              <w:rPr>
                <w:rStyle w:val="Lienhypertexte"/>
                <w:noProof/>
              </w:rPr>
              <w:t>4.1.1.</w:t>
            </w:r>
            <w:r>
              <w:rPr>
                <w:rFonts w:eastAsiaTheme="minorEastAsia"/>
                <w:noProof/>
                <w:kern w:val="2"/>
                <w:sz w:val="24"/>
                <w:szCs w:val="24"/>
                <w:lang w:eastAsia="fr-FR"/>
                <w14:ligatures w14:val="standardContextual"/>
              </w:rPr>
              <w:tab/>
            </w:r>
            <w:r w:rsidRPr="002C41DC">
              <w:rPr>
                <w:rStyle w:val="Lienhypertexte"/>
                <w:noProof/>
              </w:rPr>
              <w:t>Caractéristiques de la population et contexte d'exercice</w:t>
            </w:r>
            <w:r>
              <w:rPr>
                <w:noProof/>
                <w:webHidden/>
              </w:rPr>
              <w:tab/>
            </w:r>
            <w:r>
              <w:rPr>
                <w:noProof/>
                <w:webHidden/>
              </w:rPr>
              <w:fldChar w:fldCharType="begin"/>
            </w:r>
            <w:r>
              <w:rPr>
                <w:noProof/>
                <w:webHidden/>
              </w:rPr>
              <w:instrText xml:space="preserve"> PAGEREF _Toc221704640 \h </w:instrText>
            </w:r>
            <w:r>
              <w:rPr>
                <w:noProof/>
                <w:webHidden/>
              </w:rPr>
            </w:r>
            <w:r>
              <w:rPr>
                <w:noProof/>
                <w:webHidden/>
              </w:rPr>
              <w:fldChar w:fldCharType="separate"/>
            </w:r>
            <w:r w:rsidR="00B93EA8">
              <w:rPr>
                <w:noProof/>
                <w:webHidden/>
              </w:rPr>
              <w:t>43</w:t>
            </w:r>
            <w:r>
              <w:rPr>
                <w:noProof/>
                <w:webHidden/>
              </w:rPr>
              <w:fldChar w:fldCharType="end"/>
            </w:r>
          </w:hyperlink>
        </w:p>
        <w:p w14:paraId="74C3F6F6" w14:textId="1734C759"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1" w:history="1">
            <w:r w:rsidRPr="002C41DC">
              <w:rPr>
                <w:rStyle w:val="Lienhypertexte"/>
                <w:noProof/>
              </w:rPr>
              <w:t>4.1.2.</w:t>
            </w:r>
            <w:r>
              <w:rPr>
                <w:rFonts w:eastAsiaTheme="minorEastAsia"/>
                <w:noProof/>
                <w:kern w:val="2"/>
                <w:sz w:val="24"/>
                <w:szCs w:val="24"/>
                <w:lang w:eastAsia="fr-FR"/>
                <w14:ligatures w14:val="standardContextual"/>
              </w:rPr>
              <w:tab/>
            </w:r>
            <w:r w:rsidRPr="002C41DC">
              <w:rPr>
                <w:rStyle w:val="Lienhypertexte"/>
                <w:noProof/>
              </w:rPr>
              <w:t>Modalités et temporalité de l'évaluation de l'équilibre</w:t>
            </w:r>
            <w:r>
              <w:rPr>
                <w:noProof/>
                <w:webHidden/>
              </w:rPr>
              <w:tab/>
            </w:r>
            <w:r>
              <w:rPr>
                <w:noProof/>
                <w:webHidden/>
              </w:rPr>
              <w:fldChar w:fldCharType="begin"/>
            </w:r>
            <w:r>
              <w:rPr>
                <w:noProof/>
                <w:webHidden/>
              </w:rPr>
              <w:instrText xml:space="preserve"> PAGEREF _Toc221704641 \h </w:instrText>
            </w:r>
            <w:r>
              <w:rPr>
                <w:noProof/>
                <w:webHidden/>
              </w:rPr>
            </w:r>
            <w:r>
              <w:rPr>
                <w:noProof/>
                <w:webHidden/>
              </w:rPr>
              <w:fldChar w:fldCharType="separate"/>
            </w:r>
            <w:r w:rsidR="00B93EA8">
              <w:rPr>
                <w:noProof/>
                <w:webHidden/>
              </w:rPr>
              <w:t>43</w:t>
            </w:r>
            <w:r>
              <w:rPr>
                <w:noProof/>
                <w:webHidden/>
              </w:rPr>
              <w:fldChar w:fldCharType="end"/>
            </w:r>
          </w:hyperlink>
        </w:p>
        <w:p w14:paraId="1CE6434A" w14:textId="7C4938BA"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2" w:history="1">
            <w:r w:rsidRPr="002C41DC">
              <w:rPr>
                <w:rStyle w:val="Lienhypertexte"/>
                <w:noProof/>
              </w:rPr>
              <w:t>4.1.3.</w:t>
            </w:r>
            <w:r>
              <w:rPr>
                <w:rFonts w:eastAsiaTheme="minorEastAsia"/>
                <w:noProof/>
                <w:kern w:val="2"/>
                <w:sz w:val="24"/>
                <w:szCs w:val="24"/>
                <w:lang w:eastAsia="fr-FR"/>
                <w14:ligatures w14:val="standardContextual"/>
              </w:rPr>
              <w:tab/>
            </w:r>
            <w:r w:rsidRPr="002C41DC">
              <w:rPr>
                <w:rStyle w:val="Lienhypertexte"/>
                <w:noProof/>
              </w:rPr>
              <w:t>Analyse des outils cliniques et critères de sélection</w:t>
            </w:r>
            <w:r>
              <w:rPr>
                <w:noProof/>
                <w:webHidden/>
              </w:rPr>
              <w:tab/>
            </w:r>
            <w:r>
              <w:rPr>
                <w:noProof/>
                <w:webHidden/>
              </w:rPr>
              <w:fldChar w:fldCharType="begin"/>
            </w:r>
            <w:r>
              <w:rPr>
                <w:noProof/>
                <w:webHidden/>
              </w:rPr>
              <w:instrText xml:space="preserve"> PAGEREF _Toc221704642 \h </w:instrText>
            </w:r>
            <w:r>
              <w:rPr>
                <w:noProof/>
                <w:webHidden/>
              </w:rPr>
            </w:r>
            <w:r>
              <w:rPr>
                <w:noProof/>
                <w:webHidden/>
              </w:rPr>
              <w:fldChar w:fldCharType="separate"/>
            </w:r>
            <w:r w:rsidR="00B93EA8">
              <w:rPr>
                <w:noProof/>
                <w:webHidden/>
              </w:rPr>
              <w:t>44</w:t>
            </w:r>
            <w:r>
              <w:rPr>
                <w:noProof/>
                <w:webHidden/>
              </w:rPr>
              <w:fldChar w:fldCharType="end"/>
            </w:r>
          </w:hyperlink>
        </w:p>
        <w:p w14:paraId="48B03464" w14:textId="73D0513F"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3" w:history="1">
            <w:r w:rsidRPr="002C41DC">
              <w:rPr>
                <w:rStyle w:val="Lienhypertexte"/>
                <w:noProof/>
              </w:rPr>
              <w:t>4.1.4.</w:t>
            </w:r>
            <w:r>
              <w:rPr>
                <w:rFonts w:eastAsiaTheme="minorEastAsia"/>
                <w:noProof/>
                <w:kern w:val="2"/>
                <w:sz w:val="24"/>
                <w:szCs w:val="24"/>
                <w:lang w:eastAsia="fr-FR"/>
                <w14:ligatures w14:val="standardContextual"/>
              </w:rPr>
              <w:tab/>
            </w:r>
            <w:r w:rsidRPr="002C41DC">
              <w:rPr>
                <w:rStyle w:val="Lienhypertexte"/>
                <w:noProof/>
              </w:rPr>
              <w:t>Maîtrise du cadre théorique et limites rencontrées</w:t>
            </w:r>
            <w:r>
              <w:rPr>
                <w:noProof/>
                <w:webHidden/>
              </w:rPr>
              <w:tab/>
            </w:r>
            <w:r>
              <w:rPr>
                <w:noProof/>
                <w:webHidden/>
              </w:rPr>
              <w:fldChar w:fldCharType="begin"/>
            </w:r>
            <w:r>
              <w:rPr>
                <w:noProof/>
                <w:webHidden/>
              </w:rPr>
              <w:instrText xml:space="preserve"> PAGEREF _Toc221704643 \h </w:instrText>
            </w:r>
            <w:r>
              <w:rPr>
                <w:noProof/>
                <w:webHidden/>
              </w:rPr>
            </w:r>
            <w:r>
              <w:rPr>
                <w:noProof/>
                <w:webHidden/>
              </w:rPr>
              <w:fldChar w:fldCharType="separate"/>
            </w:r>
            <w:r w:rsidR="00B93EA8">
              <w:rPr>
                <w:noProof/>
                <w:webHidden/>
              </w:rPr>
              <w:t>45</w:t>
            </w:r>
            <w:r>
              <w:rPr>
                <w:noProof/>
                <w:webHidden/>
              </w:rPr>
              <w:fldChar w:fldCharType="end"/>
            </w:r>
          </w:hyperlink>
        </w:p>
        <w:p w14:paraId="2AD6B73F" w14:textId="6DEFE5D4"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4" w:history="1">
            <w:r w:rsidRPr="002C41DC">
              <w:rPr>
                <w:rStyle w:val="Lienhypertexte"/>
                <w:noProof/>
              </w:rPr>
              <w:t>4.1.5.</w:t>
            </w:r>
            <w:r>
              <w:rPr>
                <w:rFonts w:eastAsiaTheme="minorEastAsia"/>
                <w:noProof/>
                <w:kern w:val="2"/>
                <w:sz w:val="24"/>
                <w:szCs w:val="24"/>
                <w:lang w:eastAsia="fr-FR"/>
                <w14:ligatures w14:val="standardContextual"/>
              </w:rPr>
              <w:tab/>
            </w:r>
            <w:r w:rsidRPr="002C41DC">
              <w:rPr>
                <w:rStyle w:val="Lienhypertexte"/>
                <w:noProof/>
              </w:rPr>
              <w:t>État des lieux de la formation et besoins exprimés</w:t>
            </w:r>
            <w:r>
              <w:rPr>
                <w:noProof/>
                <w:webHidden/>
              </w:rPr>
              <w:tab/>
            </w:r>
            <w:r>
              <w:rPr>
                <w:noProof/>
                <w:webHidden/>
              </w:rPr>
              <w:fldChar w:fldCharType="begin"/>
            </w:r>
            <w:r>
              <w:rPr>
                <w:noProof/>
                <w:webHidden/>
              </w:rPr>
              <w:instrText xml:space="preserve"> PAGEREF _Toc221704644 \h </w:instrText>
            </w:r>
            <w:r>
              <w:rPr>
                <w:noProof/>
                <w:webHidden/>
              </w:rPr>
            </w:r>
            <w:r>
              <w:rPr>
                <w:noProof/>
                <w:webHidden/>
              </w:rPr>
              <w:fldChar w:fldCharType="separate"/>
            </w:r>
            <w:r w:rsidR="00B93EA8">
              <w:rPr>
                <w:noProof/>
                <w:webHidden/>
              </w:rPr>
              <w:t>45</w:t>
            </w:r>
            <w:r>
              <w:rPr>
                <w:noProof/>
                <w:webHidden/>
              </w:rPr>
              <w:fldChar w:fldCharType="end"/>
            </w:r>
          </w:hyperlink>
        </w:p>
        <w:p w14:paraId="0A40BA57" w14:textId="687E2E74"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45" w:history="1">
            <w:r w:rsidRPr="002C41DC">
              <w:rPr>
                <w:rStyle w:val="Lienhypertexte"/>
                <w:noProof/>
              </w:rPr>
              <w:t>4.2.</w:t>
            </w:r>
            <w:r>
              <w:rPr>
                <w:rFonts w:eastAsiaTheme="minorEastAsia"/>
                <w:noProof/>
                <w:kern w:val="2"/>
                <w:sz w:val="24"/>
                <w:szCs w:val="24"/>
                <w:lang w:eastAsia="fr-FR"/>
                <w14:ligatures w14:val="standardContextual"/>
              </w:rPr>
              <w:tab/>
            </w:r>
            <w:r w:rsidRPr="002C41DC">
              <w:rPr>
                <w:rStyle w:val="Lienhypertexte"/>
                <w:noProof/>
              </w:rPr>
              <w:t>Confrontations avec la littérature</w:t>
            </w:r>
            <w:r>
              <w:rPr>
                <w:noProof/>
                <w:webHidden/>
              </w:rPr>
              <w:tab/>
            </w:r>
            <w:r>
              <w:rPr>
                <w:noProof/>
                <w:webHidden/>
              </w:rPr>
              <w:fldChar w:fldCharType="begin"/>
            </w:r>
            <w:r>
              <w:rPr>
                <w:noProof/>
                <w:webHidden/>
              </w:rPr>
              <w:instrText xml:space="preserve"> PAGEREF _Toc221704645 \h </w:instrText>
            </w:r>
            <w:r>
              <w:rPr>
                <w:noProof/>
                <w:webHidden/>
              </w:rPr>
            </w:r>
            <w:r>
              <w:rPr>
                <w:noProof/>
                <w:webHidden/>
              </w:rPr>
              <w:fldChar w:fldCharType="separate"/>
            </w:r>
            <w:r w:rsidR="00B93EA8">
              <w:rPr>
                <w:noProof/>
                <w:webHidden/>
              </w:rPr>
              <w:t>46</w:t>
            </w:r>
            <w:r>
              <w:rPr>
                <w:noProof/>
                <w:webHidden/>
              </w:rPr>
              <w:fldChar w:fldCharType="end"/>
            </w:r>
          </w:hyperlink>
        </w:p>
        <w:p w14:paraId="703955E6" w14:textId="79174369"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6" w:history="1">
            <w:r w:rsidRPr="002C41DC">
              <w:rPr>
                <w:rStyle w:val="Lienhypertexte"/>
                <w:noProof/>
              </w:rPr>
              <w:t>4.2.1.</w:t>
            </w:r>
            <w:r>
              <w:rPr>
                <w:rFonts w:eastAsiaTheme="minorEastAsia"/>
                <w:noProof/>
                <w:kern w:val="2"/>
                <w:sz w:val="24"/>
                <w:szCs w:val="24"/>
                <w:lang w:eastAsia="fr-FR"/>
                <w14:ligatures w14:val="standardContextual"/>
              </w:rPr>
              <w:tab/>
            </w:r>
            <w:r w:rsidRPr="002C41DC">
              <w:rPr>
                <w:rStyle w:val="Lienhypertexte"/>
                <w:noProof/>
              </w:rPr>
              <w:t>Idéal théorique versus réalité clinique</w:t>
            </w:r>
            <w:r>
              <w:rPr>
                <w:noProof/>
                <w:webHidden/>
              </w:rPr>
              <w:tab/>
            </w:r>
            <w:r>
              <w:rPr>
                <w:noProof/>
                <w:webHidden/>
              </w:rPr>
              <w:fldChar w:fldCharType="begin"/>
            </w:r>
            <w:r>
              <w:rPr>
                <w:noProof/>
                <w:webHidden/>
              </w:rPr>
              <w:instrText xml:space="preserve"> PAGEREF _Toc221704646 \h </w:instrText>
            </w:r>
            <w:r>
              <w:rPr>
                <w:noProof/>
                <w:webHidden/>
              </w:rPr>
            </w:r>
            <w:r>
              <w:rPr>
                <w:noProof/>
                <w:webHidden/>
              </w:rPr>
              <w:fldChar w:fldCharType="separate"/>
            </w:r>
            <w:r w:rsidR="00B93EA8">
              <w:rPr>
                <w:noProof/>
                <w:webHidden/>
              </w:rPr>
              <w:t>46</w:t>
            </w:r>
            <w:r>
              <w:rPr>
                <w:noProof/>
                <w:webHidden/>
              </w:rPr>
              <w:fldChar w:fldCharType="end"/>
            </w:r>
          </w:hyperlink>
        </w:p>
        <w:p w14:paraId="62A13E88" w14:textId="735E43D3"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7" w:history="1">
            <w:r w:rsidRPr="002C41DC">
              <w:rPr>
                <w:rStyle w:val="Lienhypertexte"/>
                <w:noProof/>
              </w:rPr>
              <w:t>4.2.2.</w:t>
            </w:r>
            <w:r>
              <w:rPr>
                <w:rFonts w:eastAsiaTheme="minorEastAsia"/>
                <w:noProof/>
                <w:kern w:val="2"/>
                <w:sz w:val="24"/>
                <w:szCs w:val="24"/>
                <w:lang w:eastAsia="fr-FR"/>
                <w14:ligatures w14:val="standardContextual"/>
              </w:rPr>
              <w:tab/>
            </w:r>
            <w:r w:rsidRPr="002C41DC">
              <w:rPr>
                <w:rStyle w:val="Lienhypertexte"/>
                <w:noProof/>
              </w:rPr>
              <w:t>Une similitude avec les tendances internationales</w:t>
            </w:r>
            <w:r>
              <w:rPr>
                <w:noProof/>
                <w:webHidden/>
              </w:rPr>
              <w:tab/>
            </w:r>
            <w:r>
              <w:rPr>
                <w:noProof/>
                <w:webHidden/>
              </w:rPr>
              <w:fldChar w:fldCharType="begin"/>
            </w:r>
            <w:r>
              <w:rPr>
                <w:noProof/>
                <w:webHidden/>
              </w:rPr>
              <w:instrText xml:space="preserve"> PAGEREF _Toc221704647 \h </w:instrText>
            </w:r>
            <w:r>
              <w:rPr>
                <w:noProof/>
                <w:webHidden/>
              </w:rPr>
            </w:r>
            <w:r>
              <w:rPr>
                <w:noProof/>
                <w:webHidden/>
              </w:rPr>
              <w:fldChar w:fldCharType="separate"/>
            </w:r>
            <w:r w:rsidR="00B93EA8">
              <w:rPr>
                <w:noProof/>
                <w:webHidden/>
              </w:rPr>
              <w:t>47</w:t>
            </w:r>
            <w:r>
              <w:rPr>
                <w:noProof/>
                <w:webHidden/>
              </w:rPr>
              <w:fldChar w:fldCharType="end"/>
            </w:r>
          </w:hyperlink>
        </w:p>
        <w:p w14:paraId="5EE8C97C" w14:textId="3F31B3B2"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8" w:history="1">
            <w:r w:rsidRPr="002C41DC">
              <w:rPr>
                <w:rStyle w:val="Lienhypertexte"/>
                <w:noProof/>
              </w:rPr>
              <w:t>4.2.3.</w:t>
            </w:r>
            <w:r>
              <w:rPr>
                <w:rFonts w:eastAsiaTheme="minorEastAsia"/>
                <w:noProof/>
                <w:kern w:val="2"/>
                <w:sz w:val="24"/>
                <w:szCs w:val="24"/>
                <w:lang w:eastAsia="fr-FR"/>
                <w14:ligatures w14:val="standardContextual"/>
              </w:rPr>
              <w:tab/>
            </w:r>
            <w:r w:rsidRPr="002C41DC">
              <w:rPr>
                <w:rStyle w:val="Lienhypertexte"/>
                <w:noProof/>
              </w:rPr>
              <w:t>Le déficit de diffusion</w:t>
            </w:r>
            <w:r>
              <w:rPr>
                <w:noProof/>
                <w:webHidden/>
              </w:rPr>
              <w:tab/>
            </w:r>
            <w:r>
              <w:rPr>
                <w:noProof/>
                <w:webHidden/>
              </w:rPr>
              <w:fldChar w:fldCharType="begin"/>
            </w:r>
            <w:r>
              <w:rPr>
                <w:noProof/>
                <w:webHidden/>
              </w:rPr>
              <w:instrText xml:space="preserve"> PAGEREF _Toc221704648 \h </w:instrText>
            </w:r>
            <w:r>
              <w:rPr>
                <w:noProof/>
                <w:webHidden/>
              </w:rPr>
            </w:r>
            <w:r>
              <w:rPr>
                <w:noProof/>
                <w:webHidden/>
              </w:rPr>
              <w:fldChar w:fldCharType="separate"/>
            </w:r>
            <w:r w:rsidR="00B93EA8">
              <w:rPr>
                <w:noProof/>
                <w:webHidden/>
              </w:rPr>
              <w:t>47</w:t>
            </w:r>
            <w:r>
              <w:rPr>
                <w:noProof/>
                <w:webHidden/>
              </w:rPr>
              <w:fldChar w:fldCharType="end"/>
            </w:r>
          </w:hyperlink>
        </w:p>
        <w:p w14:paraId="23869156" w14:textId="2F2B3D77"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49" w:history="1">
            <w:r w:rsidRPr="002C41DC">
              <w:rPr>
                <w:rStyle w:val="Lienhypertexte"/>
                <w:noProof/>
              </w:rPr>
              <w:t>4.2.4.</w:t>
            </w:r>
            <w:r>
              <w:rPr>
                <w:rFonts w:eastAsiaTheme="minorEastAsia"/>
                <w:noProof/>
                <w:kern w:val="2"/>
                <w:sz w:val="24"/>
                <w:szCs w:val="24"/>
                <w:lang w:eastAsia="fr-FR"/>
                <w14:ligatures w14:val="standardContextual"/>
              </w:rPr>
              <w:tab/>
            </w:r>
            <w:r w:rsidRPr="002C41DC">
              <w:rPr>
                <w:rStyle w:val="Lienhypertexte"/>
                <w:noProof/>
              </w:rPr>
              <w:t>Le cas du Mini-BESTest</w:t>
            </w:r>
            <w:r>
              <w:rPr>
                <w:noProof/>
                <w:webHidden/>
              </w:rPr>
              <w:tab/>
            </w:r>
            <w:r>
              <w:rPr>
                <w:noProof/>
                <w:webHidden/>
              </w:rPr>
              <w:fldChar w:fldCharType="begin"/>
            </w:r>
            <w:r>
              <w:rPr>
                <w:noProof/>
                <w:webHidden/>
              </w:rPr>
              <w:instrText xml:space="preserve"> PAGEREF _Toc221704649 \h </w:instrText>
            </w:r>
            <w:r>
              <w:rPr>
                <w:noProof/>
                <w:webHidden/>
              </w:rPr>
            </w:r>
            <w:r>
              <w:rPr>
                <w:noProof/>
                <w:webHidden/>
              </w:rPr>
              <w:fldChar w:fldCharType="separate"/>
            </w:r>
            <w:r w:rsidR="00B93EA8">
              <w:rPr>
                <w:noProof/>
                <w:webHidden/>
              </w:rPr>
              <w:t>48</w:t>
            </w:r>
            <w:r>
              <w:rPr>
                <w:noProof/>
                <w:webHidden/>
              </w:rPr>
              <w:fldChar w:fldCharType="end"/>
            </w:r>
          </w:hyperlink>
        </w:p>
        <w:p w14:paraId="7C824A4F" w14:textId="7BA97684"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50" w:history="1">
            <w:r w:rsidRPr="002C41DC">
              <w:rPr>
                <w:rStyle w:val="Lienhypertexte"/>
                <w:noProof/>
              </w:rPr>
              <w:t>4.3.</w:t>
            </w:r>
            <w:r>
              <w:rPr>
                <w:rFonts w:eastAsiaTheme="minorEastAsia"/>
                <w:noProof/>
                <w:kern w:val="2"/>
                <w:sz w:val="24"/>
                <w:szCs w:val="24"/>
                <w:lang w:eastAsia="fr-FR"/>
                <w14:ligatures w14:val="standardContextual"/>
              </w:rPr>
              <w:tab/>
            </w:r>
            <w:r w:rsidRPr="002C41DC">
              <w:rPr>
                <w:rStyle w:val="Lienhypertexte"/>
                <w:noProof/>
              </w:rPr>
              <w:t>La formation</w:t>
            </w:r>
            <w:r>
              <w:rPr>
                <w:noProof/>
                <w:webHidden/>
              </w:rPr>
              <w:tab/>
            </w:r>
            <w:r>
              <w:rPr>
                <w:noProof/>
                <w:webHidden/>
              </w:rPr>
              <w:fldChar w:fldCharType="begin"/>
            </w:r>
            <w:r>
              <w:rPr>
                <w:noProof/>
                <w:webHidden/>
              </w:rPr>
              <w:instrText xml:space="preserve"> PAGEREF _Toc221704650 \h </w:instrText>
            </w:r>
            <w:r>
              <w:rPr>
                <w:noProof/>
                <w:webHidden/>
              </w:rPr>
            </w:r>
            <w:r>
              <w:rPr>
                <w:noProof/>
                <w:webHidden/>
              </w:rPr>
              <w:fldChar w:fldCharType="separate"/>
            </w:r>
            <w:r w:rsidR="00B93EA8">
              <w:rPr>
                <w:noProof/>
                <w:webHidden/>
              </w:rPr>
              <w:t>48</w:t>
            </w:r>
            <w:r>
              <w:rPr>
                <w:noProof/>
                <w:webHidden/>
              </w:rPr>
              <w:fldChar w:fldCharType="end"/>
            </w:r>
          </w:hyperlink>
        </w:p>
        <w:p w14:paraId="2D69B023" w14:textId="13584CF4"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1" w:history="1">
            <w:r w:rsidRPr="002C41DC">
              <w:rPr>
                <w:rStyle w:val="Lienhypertexte"/>
                <w:noProof/>
              </w:rPr>
              <w:t>4.3.1.</w:t>
            </w:r>
            <w:r>
              <w:rPr>
                <w:rFonts w:eastAsiaTheme="minorEastAsia"/>
                <w:noProof/>
                <w:kern w:val="2"/>
                <w:sz w:val="24"/>
                <w:szCs w:val="24"/>
                <w:lang w:eastAsia="fr-FR"/>
                <w14:ligatures w14:val="standardContextual"/>
              </w:rPr>
              <w:tab/>
            </w:r>
            <w:r w:rsidRPr="002C41DC">
              <w:rPr>
                <w:rStyle w:val="Lienhypertexte"/>
                <w:noProof/>
              </w:rPr>
              <w:t>L'impact de la méconnaissance du cadre théorique de Horak</w:t>
            </w:r>
            <w:r>
              <w:rPr>
                <w:noProof/>
                <w:webHidden/>
              </w:rPr>
              <w:tab/>
            </w:r>
            <w:r>
              <w:rPr>
                <w:noProof/>
                <w:webHidden/>
              </w:rPr>
              <w:fldChar w:fldCharType="begin"/>
            </w:r>
            <w:r>
              <w:rPr>
                <w:noProof/>
                <w:webHidden/>
              </w:rPr>
              <w:instrText xml:space="preserve"> PAGEREF _Toc221704651 \h </w:instrText>
            </w:r>
            <w:r>
              <w:rPr>
                <w:noProof/>
                <w:webHidden/>
              </w:rPr>
            </w:r>
            <w:r>
              <w:rPr>
                <w:noProof/>
                <w:webHidden/>
              </w:rPr>
              <w:fldChar w:fldCharType="separate"/>
            </w:r>
            <w:r w:rsidR="00B93EA8">
              <w:rPr>
                <w:noProof/>
                <w:webHidden/>
              </w:rPr>
              <w:t>48</w:t>
            </w:r>
            <w:r>
              <w:rPr>
                <w:noProof/>
                <w:webHidden/>
              </w:rPr>
              <w:fldChar w:fldCharType="end"/>
            </w:r>
          </w:hyperlink>
        </w:p>
        <w:p w14:paraId="4A96F6B8" w14:textId="5F341F71"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2" w:history="1">
            <w:r w:rsidRPr="002C41DC">
              <w:rPr>
                <w:rStyle w:val="Lienhypertexte"/>
                <w:noProof/>
              </w:rPr>
              <w:t>4.3.2.</w:t>
            </w:r>
            <w:r>
              <w:rPr>
                <w:rFonts w:eastAsiaTheme="minorEastAsia"/>
                <w:noProof/>
                <w:kern w:val="2"/>
                <w:sz w:val="24"/>
                <w:szCs w:val="24"/>
                <w:lang w:eastAsia="fr-FR"/>
                <w14:ligatures w14:val="standardContextual"/>
              </w:rPr>
              <w:tab/>
            </w:r>
            <w:r w:rsidRPr="002C41DC">
              <w:rPr>
                <w:rStyle w:val="Lienhypertexte"/>
                <w:noProof/>
              </w:rPr>
              <w:t>Analyse des besoins en formation</w:t>
            </w:r>
            <w:r>
              <w:rPr>
                <w:noProof/>
                <w:webHidden/>
              </w:rPr>
              <w:tab/>
            </w:r>
            <w:r>
              <w:rPr>
                <w:noProof/>
                <w:webHidden/>
              </w:rPr>
              <w:fldChar w:fldCharType="begin"/>
            </w:r>
            <w:r>
              <w:rPr>
                <w:noProof/>
                <w:webHidden/>
              </w:rPr>
              <w:instrText xml:space="preserve"> PAGEREF _Toc221704652 \h </w:instrText>
            </w:r>
            <w:r>
              <w:rPr>
                <w:noProof/>
                <w:webHidden/>
              </w:rPr>
            </w:r>
            <w:r>
              <w:rPr>
                <w:noProof/>
                <w:webHidden/>
              </w:rPr>
              <w:fldChar w:fldCharType="separate"/>
            </w:r>
            <w:r w:rsidR="00B93EA8">
              <w:rPr>
                <w:noProof/>
                <w:webHidden/>
              </w:rPr>
              <w:t>49</w:t>
            </w:r>
            <w:r>
              <w:rPr>
                <w:noProof/>
                <w:webHidden/>
              </w:rPr>
              <w:fldChar w:fldCharType="end"/>
            </w:r>
          </w:hyperlink>
        </w:p>
        <w:p w14:paraId="1C83E00A" w14:textId="3E7704DE"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3" w:history="1">
            <w:r w:rsidRPr="002C41DC">
              <w:rPr>
                <w:rStyle w:val="Lienhypertexte"/>
                <w:noProof/>
              </w:rPr>
              <w:t>4.3.3.</w:t>
            </w:r>
            <w:r>
              <w:rPr>
                <w:rFonts w:eastAsiaTheme="minorEastAsia"/>
                <w:noProof/>
                <w:kern w:val="2"/>
                <w:sz w:val="24"/>
                <w:szCs w:val="24"/>
                <w:lang w:eastAsia="fr-FR"/>
                <w14:ligatures w14:val="standardContextual"/>
              </w:rPr>
              <w:tab/>
            </w:r>
            <w:r w:rsidRPr="002C41DC">
              <w:rPr>
                <w:rStyle w:val="Lienhypertexte"/>
                <w:noProof/>
              </w:rPr>
              <w:t>Enjeu de santé publique et rôle du kinésithérapeute</w:t>
            </w:r>
            <w:r>
              <w:rPr>
                <w:noProof/>
                <w:webHidden/>
              </w:rPr>
              <w:tab/>
            </w:r>
            <w:r>
              <w:rPr>
                <w:noProof/>
                <w:webHidden/>
              </w:rPr>
              <w:fldChar w:fldCharType="begin"/>
            </w:r>
            <w:r>
              <w:rPr>
                <w:noProof/>
                <w:webHidden/>
              </w:rPr>
              <w:instrText xml:space="preserve"> PAGEREF _Toc221704653 \h </w:instrText>
            </w:r>
            <w:r>
              <w:rPr>
                <w:noProof/>
                <w:webHidden/>
              </w:rPr>
            </w:r>
            <w:r>
              <w:rPr>
                <w:noProof/>
                <w:webHidden/>
              </w:rPr>
              <w:fldChar w:fldCharType="separate"/>
            </w:r>
            <w:r w:rsidR="00B93EA8">
              <w:rPr>
                <w:noProof/>
                <w:webHidden/>
              </w:rPr>
              <w:t>49</w:t>
            </w:r>
            <w:r>
              <w:rPr>
                <w:noProof/>
                <w:webHidden/>
              </w:rPr>
              <w:fldChar w:fldCharType="end"/>
            </w:r>
          </w:hyperlink>
        </w:p>
        <w:p w14:paraId="0A36A864" w14:textId="39D44A69"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54" w:history="1">
            <w:r w:rsidRPr="002C41DC">
              <w:rPr>
                <w:rStyle w:val="Lienhypertexte"/>
                <w:noProof/>
              </w:rPr>
              <w:t>4.4.</w:t>
            </w:r>
            <w:r>
              <w:rPr>
                <w:rFonts w:eastAsiaTheme="minorEastAsia"/>
                <w:noProof/>
                <w:kern w:val="2"/>
                <w:sz w:val="24"/>
                <w:szCs w:val="24"/>
                <w:lang w:eastAsia="fr-FR"/>
                <w14:ligatures w14:val="standardContextual"/>
              </w:rPr>
              <w:tab/>
            </w:r>
            <w:r w:rsidRPr="002C41DC">
              <w:rPr>
                <w:rStyle w:val="Lienhypertexte"/>
                <w:noProof/>
              </w:rPr>
              <w:t>Limites de l’étude</w:t>
            </w:r>
            <w:r>
              <w:rPr>
                <w:noProof/>
                <w:webHidden/>
              </w:rPr>
              <w:tab/>
            </w:r>
            <w:r>
              <w:rPr>
                <w:noProof/>
                <w:webHidden/>
              </w:rPr>
              <w:fldChar w:fldCharType="begin"/>
            </w:r>
            <w:r>
              <w:rPr>
                <w:noProof/>
                <w:webHidden/>
              </w:rPr>
              <w:instrText xml:space="preserve"> PAGEREF _Toc221704654 \h </w:instrText>
            </w:r>
            <w:r>
              <w:rPr>
                <w:noProof/>
                <w:webHidden/>
              </w:rPr>
            </w:r>
            <w:r>
              <w:rPr>
                <w:noProof/>
                <w:webHidden/>
              </w:rPr>
              <w:fldChar w:fldCharType="separate"/>
            </w:r>
            <w:r w:rsidR="00B93EA8">
              <w:rPr>
                <w:noProof/>
                <w:webHidden/>
              </w:rPr>
              <w:t>49</w:t>
            </w:r>
            <w:r>
              <w:rPr>
                <w:noProof/>
                <w:webHidden/>
              </w:rPr>
              <w:fldChar w:fldCharType="end"/>
            </w:r>
          </w:hyperlink>
        </w:p>
        <w:p w14:paraId="6DE6C61D" w14:textId="07E973EB"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5" w:history="1">
            <w:r w:rsidRPr="002C41DC">
              <w:rPr>
                <w:rStyle w:val="Lienhypertexte"/>
                <w:noProof/>
              </w:rPr>
              <w:t>4.4.1.</w:t>
            </w:r>
            <w:r>
              <w:rPr>
                <w:rFonts w:eastAsiaTheme="minorEastAsia"/>
                <w:noProof/>
                <w:kern w:val="2"/>
                <w:sz w:val="24"/>
                <w:szCs w:val="24"/>
                <w:lang w:eastAsia="fr-FR"/>
                <w14:ligatures w14:val="standardContextual"/>
              </w:rPr>
              <w:tab/>
            </w:r>
            <w:r w:rsidRPr="002C41DC">
              <w:rPr>
                <w:rStyle w:val="Lienhypertexte"/>
                <w:noProof/>
              </w:rPr>
              <w:t>La représentativité et la taille de l’échantillon</w:t>
            </w:r>
            <w:r>
              <w:rPr>
                <w:noProof/>
                <w:webHidden/>
              </w:rPr>
              <w:tab/>
            </w:r>
            <w:r>
              <w:rPr>
                <w:noProof/>
                <w:webHidden/>
              </w:rPr>
              <w:fldChar w:fldCharType="begin"/>
            </w:r>
            <w:r>
              <w:rPr>
                <w:noProof/>
                <w:webHidden/>
              </w:rPr>
              <w:instrText xml:space="preserve"> PAGEREF _Toc221704655 \h </w:instrText>
            </w:r>
            <w:r>
              <w:rPr>
                <w:noProof/>
                <w:webHidden/>
              </w:rPr>
            </w:r>
            <w:r>
              <w:rPr>
                <w:noProof/>
                <w:webHidden/>
              </w:rPr>
              <w:fldChar w:fldCharType="separate"/>
            </w:r>
            <w:r w:rsidR="00B93EA8">
              <w:rPr>
                <w:noProof/>
                <w:webHidden/>
              </w:rPr>
              <w:t>50</w:t>
            </w:r>
            <w:r>
              <w:rPr>
                <w:noProof/>
                <w:webHidden/>
              </w:rPr>
              <w:fldChar w:fldCharType="end"/>
            </w:r>
          </w:hyperlink>
        </w:p>
        <w:p w14:paraId="494B32CE" w14:textId="736CFB8E"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6" w:history="1">
            <w:r w:rsidRPr="002C41DC">
              <w:rPr>
                <w:rStyle w:val="Lienhypertexte"/>
                <w:noProof/>
              </w:rPr>
              <w:t>4.4.2.</w:t>
            </w:r>
            <w:r>
              <w:rPr>
                <w:rFonts w:eastAsiaTheme="minorEastAsia"/>
                <w:noProof/>
                <w:kern w:val="2"/>
                <w:sz w:val="24"/>
                <w:szCs w:val="24"/>
                <w:lang w:eastAsia="fr-FR"/>
                <w14:ligatures w14:val="standardContextual"/>
              </w:rPr>
              <w:tab/>
            </w:r>
            <w:r w:rsidRPr="002C41DC">
              <w:rPr>
                <w:rStyle w:val="Lienhypertexte"/>
                <w:noProof/>
              </w:rPr>
              <w:t>Les biais de sélection et de recrutement</w:t>
            </w:r>
            <w:r>
              <w:rPr>
                <w:noProof/>
                <w:webHidden/>
              </w:rPr>
              <w:tab/>
            </w:r>
            <w:r>
              <w:rPr>
                <w:noProof/>
                <w:webHidden/>
              </w:rPr>
              <w:fldChar w:fldCharType="begin"/>
            </w:r>
            <w:r>
              <w:rPr>
                <w:noProof/>
                <w:webHidden/>
              </w:rPr>
              <w:instrText xml:space="preserve"> PAGEREF _Toc221704656 \h </w:instrText>
            </w:r>
            <w:r>
              <w:rPr>
                <w:noProof/>
                <w:webHidden/>
              </w:rPr>
            </w:r>
            <w:r>
              <w:rPr>
                <w:noProof/>
                <w:webHidden/>
              </w:rPr>
              <w:fldChar w:fldCharType="separate"/>
            </w:r>
            <w:r w:rsidR="00B93EA8">
              <w:rPr>
                <w:noProof/>
                <w:webHidden/>
              </w:rPr>
              <w:t>50</w:t>
            </w:r>
            <w:r>
              <w:rPr>
                <w:noProof/>
                <w:webHidden/>
              </w:rPr>
              <w:fldChar w:fldCharType="end"/>
            </w:r>
          </w:hyperlink>
        </w:p>
        <w:p w14:paraId="64E8F4CE" w14:textId="67DAF732"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7" w:history="1">
            <w:r w:rsidRPr="002C41DC">
              <w:rPr>
                <w:rStyle w:val="Lienhypertexte"/>
                <w:noProof/>
              </w:rPr>
              <w:t>4.4.3.</w:t>
            </w:r>
            <w:r>
              <w:rPr>
                <w:rFonts w:eastAsiaTheme="minorEastAsia"/>
                <w:noProof/>
                <w:kern w:val="2"/>
                <w:sz w:val="24"/>
                <w:szCs w:val="24"/>
                <w:lang w:eastAsia="fr-FR"/>
                <w14:ligatures w14:val="standardContextual"/>
              </w:rPr>
              <w:tab/>
            </w:r>
            <w:r w:rsidRPr="002C41DC">
              <w:rPr>
                <w:rStyle w:val="Lienhypertexte"/>
                <w:noProof/>
              </w:rPr>
              <w:t>Les biais déclaratifs</w:t>
            </w:r>
            <w:r>
              <w:rPr>
                <w:noProof/>
                <w:webHidden/>
              </w:rPr>
              <w:tab/>
            </w:r>
            <w:r>
              <w:rPr>
                <w:noProof/>
                <w:webHidden/>
              </w:rPr>
              <w:fldChar w:fldCharType="begin"/>
            </w:r>
            <w:r>
              <w:rPr>
                <w:noProof/>
                <w:webHidden/>
              </w:rPr>
              <w:instrText xml:space="preserve"> PAGEREF _Toc221704657 \h </w:instrText>
            </w:r>
            <w:r>
              <w:rPr>
                <w:noProof/>
                <w:webHidden/>
              </w:rPr>
            </w:r>
            <w:r>
              <w:rPr>
                <w:noProof/>
                <w:webHidden/>
              </w:rPr>
              <w:fldChar w:fldCharType="separate"/>
            </w:r>
            <w:r w:rsidR="00B93EA8">
              <w:rPr>
                <w:noProof/>
                <w:webHidden/>
              </w:rPr>
              <w:t>50</w:t>
            </w:r>
            <w:r>
              <w:rPr>
                <w:noProof/>
                <w:webHidden/>
              </w:rPr>
              <w:fldChar w:fldCharType="end"/>
            </w:r>
          </w:hyperlink>
        </w:p>
        <w:p w14:paraId="58047939" w14:textId="77E3C430" w:rsidR="00983D9E" w:rsidRDefault="00983D9E">
          <w:pPr>
            <w:pStyle w:val="TM2"/>
            <w:tabs>
              <w:tab w:val="left" w:pos="960"/>
              <w:tab w:val="right" w:leader="dot" w:pos="9060"/>
            </w:tabs>
            <w:rPr>
              <w:rFonts w:eastAsiaTheme="minorEastAsia"/>
              <w:noProof/>
              <w:kern w:val="2"/>
              <w:sz w:val="24"/>
              <w:szCs w:val="24"/>
              <w:lang w:eastAsia="fr-FR"/>
              <w14:ligatures w14:val="standardContextual"/>
            </w:rPr>
          </w:pPr>
          <w:hyperlink w:anchor="_Toc221704658" w:history="1">
            <w:r w:rsidRPr="002C41DC">
              <w:rPr>
                <w:rStyle w:val="Lienhypertexte"/>
                <w:noProof/>
              </w:rPr>
              <w:t>4.5.</w:t>
            </w:r>
            <w:r>
              <w:rPr>
                <w:rFonts w:eastAsiaTheme="minorEastAsia"/>
                <w:noProof/>
                <w:kern w:val="2"/>
                <w:sz w:val="24"/>
                <w:szCs w:val="24"/>
                <w:lang w:eastAsia="fr-FR"/>
                <w14:ligatures w14:val="standardContextual"/>
              </w:rPr>
              <w:tab/>
            </w:r>
            <w:r w:rsidRPr="002C41DC">
              <w:rPr>
                <w:rStyle w:val="Lienhypertexte"/>
                <w:noProof/>
              </w:rPr>
              <w:t>Perspectives et ouvertures</w:t>
            </w:r>
            <w:r>
              <w:rPr>
                <w:noProof/>
                <w:webHidden/>
              </w:rPr>
              <w:tab/>
            </w:r>
            <w:r>
              <w:rPr>
                <w:noProof/>
                <w:webHidden/>
              </w:rPr>
              <w:fldChar w:fldCharType="begin"/>
            </w:r>
            <w:r>
              <w:rPr>
                <w:noProof/>
                <w:webHidden/>
              </w:rPr>
              <w:instrText xml:space="preserve"> PAGEREF _Toc221704658 \h </w:instrText>
            </w:r>
            <w:r>
              <w:rPr>
                <w:noProof/>
                <w:webHidden/>
              </w:rPr>
            </w:r>
            <w:r>
              <w:rPr>
                <w:noProof/>
                <w:webHidden/>
              </w:rPr>
              <w:fldChar w:fldCharType="separate"/>
            </w:r>
            <w:r w:rsidR="00B93EA8">
              <w:rPr>
                <w:noProof/>
                <w:webHidden/>
              </w:rPr>
              <w:t>50</w:t>
            </w:r>
            <w:r>
              <w:rPr>
                <w:noProof/>
                <w:webHidden/>
              </w:rPr>
              <w:fldChar w:fldCharType="end"/>
            </w:r>
          </w:hyperlink>
        </w:p>
        <w:p w14:paraId="3EAB593F" w14:textId="76EDEEE0"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59" w:history="1">
            <w:r w:rsidRPr="002C41DC">
              <w:rPr>
                <w:rStyle w:val="Lienhypertexte"/>
                <w:noProof/>
              </w:rPr>
              <w:t>4.5.1.</w:t>
            </w:r>
            <w:r>
              <w:rPr>
                <w:rFonts w:eastAsiaTheme="minorEastAsia"/>
                <w:noProof/>
                <w:kern w:val="2"/>
                <w:sz w:val="24"/>
                <w:szCs w:val="24"/>
                <w:lang w:eastAsia="fr-FR"/>
                <w14:ligatures w14:val="standardContextual"/>
              </w:rPr>
              <w:tab/>
            </w:r>
            <w:r w:rsidRPr="002C41DC">
              <w:rPr>
                <w:rStyle w:val="Lienhypertexte"/>
                <w:noProof/>
              </w:rPr>
              <w:t>Vers la création de guides de pratique clinique "efficients"</w:t>
            </w:r>
            <w:r>
              <w:rPr>
                <w:noProof/>
                <w:webHidden/>
              </w:rPr>
              <w:tab/>
            </w:r>
            <w:r>
              <w:rPr>
                <w:noProof/>
                <w:webHidden/>
              </w:rPr>
              <w:fldChar w:fldCharType="begin"/>
            </w:r>
            <w:r>
              <w:rPr>
                <w:noProof/>
                <w:webHidden/>
              </w:rPr>
              <w:instrText xml:space="preserve"> PAGEREF _Toc221704659 \h </w:instrText>
            </w:r>
            <w:r>
              <w:rPr>
                <w:noProof/>
                <w:webHidden/>
              </w:rPr>
            </w:r>
            <w:r>
              <w:rPr>
                <w:noProof/>
                <w:webHidden/>
              </w:rPr>
              <w:fldChar w:fldCharType="separate"/>
            </w:r>
            <w:r w:rsidR="00B93EA8">
              <w:rPr>
                <w:noProof/>
                <w:webHidden/>
              </w:rPr>
              <w:t>50</w:t>
            </w:r>
            <w:r>
              <w:rPr>
                <w:noProof/>
                <w:webHidden/>
              </w:rPr>
              <w:fldChar w:fldCharType="end"/>
            </w:r>
          </w:hyperlink>
        </w:p>
        <w:p w14:paraId="4E8BA20C" w14:textId="7F56134E"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60" w:history="1">
            <w:r w:rsidRPr="002C41DC">
              <w:rPr>
                <w:rStyle w:val="Lienhypertexte"/>
                <w:noProof/>
              </w:rPr>
              <w:t>4.5.2.</w:t>
            </w:r>
            <w:r>
              <w:rPr>
                <w:rFonts w:eastAsiaTheme="minorEastAsia"/>
                <w:noProof/>
                <w:kern w:val="2"/>
                <w:sz w:val="24"/>
                <w:szCs w:val="24"/>
                <w:lang w:eastAsia="fr-FR"/>
                <w14:ligatures w14:val="standardContextual"/>
              </w:rPr>
              <w:tab/>
            </w:r>
            <w:r w:rsidRPr="002C41DC">
              <w:rPr>
                <w:rStyle w:val="Lienhypertexte"/>
                <w:noProof/>
              </w:rPr>
              <w:t>Modernisation de la formation initiale et continue</w:t>
            </w:r>
            <w:r>
              <w:rPr>
                <w:noProof/>
                <w:webHidden/>
              </w:rPr>
              <w:tab/>
            </w:r>
            <w:r>
              <w:rPr>
                <w:noProof/>
                <w:webHidden/>
              </w:rPr>
              <w:fldChar w:fldCharType="begin"/>
            </w:r>
            <w:r>
              <w:rPr>
                <w:noProof/>
                <w:webHidden/>
              </w:rPr>
              <w:instrText xml:space="preserve"> PAGEREF _Toc221704660 \h </w:instrText>
            </w:r>
            <w:r>
              <w:rPr>
                <w:noProof/>
                <w:webHidden/>
              </w:rPr>
            </w:r>
            <w:r>
              <w:rPr>
                <w:noProof/>
                <w:webHidden/>
              </w:rPr>
              <w:fldChar w:fldCharType="separate"/>
            </w:r>
            <w:r w:rsidR="00B93EA8">
              <w:rPr>
                <w:noProof/>
                <w:webHidden/>
              </w:rPr>
              <w:t>51</w:t>
            </w:r>
            <w:r>
              <w:rPr>
                <w:noProof/>
                <w:webHidden/>
              </w:rPr>
              <w:fldChar w:fldCharType="end"/>
            </w:r>
          </w:hyperlink>
        </w:p>
        <w:p w14:paraId="5DD4903B" w14:textId="4DD01D98"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61" w:history="1">
            <w:r w:rsidRPr="002C41DC">
              <w:rPr>
                <w:rStyle w:val="Lienhypertexte"/>
                <w:noProof/>
              </w:rPr>
              <w:t>4.5.3.</w:t>
            </w:r>
            <w:r>
              <w:rPr>
                <w:rFonts w:eastAsiaTheme="minorEastAsia"/>
                <w:noProof/>
                <w:kern w:val="2"/>
                <w:sz w:val="24"/>
                <w:szCs w:val="24"/>
                <w:lang w:eastAsia="fr-FR"/>
                <w14:ligatures w14:val="standardContextual"/>
              </w:rPr>
              <w:tab/>
            </w:r>
            <w:r w:rsidRPr="002C41DC">
              <w:rPr>
                <w:rStyle w:val="Lienhypertexte"/>
                <w:noProof/>
              </w:rPr>
              <w:t>Inscription dans une dynamique pluriprofessionnelle</w:t>
            </w:r>
            <w:r>
              <w:rPr>
                <w:noProof/>
                <w:webHidden/>
              </w:rPr>
              <w:tab/>
            </w:r>
            <w:r>
              <w:rPr>
                <w:noProof/>
                <w:webHidden/>
              </w:rPr>
              <w:fldChar w:fldCharType="begin"/>
            </w:r>
            <w:r>
              <w:rPr>
                <w:noProof/>
                <w:webHidden/>
              </w:rPr>
              <w:instrText xml:space="preserve"> PAGEREF _Toc221704661 \h </w:instrText>
            </w:r>
            <w:r>
              <w:rPr>
                <w:noProof/>
                <w:webHidden/>
              </w:rPr>
            </w:r>
            <w:r>
              <w:rPr>
                <w:noProof/>
                <w:webHidden/>
              </w:rPr>
              <w:fldChar w:fldCharType="separate"/>
            </w:r>
            <w:r w:rsidR="00B93EA8">
              <w:rPr>
                <w:noProof/>
                <w:webHidden/>
              </w:rPr>
              <w:t>51</w:t>
            </w:r>
            <w:r>
              <w:rPr>
                <w:noProof/>
                <w:webHidden/>
              </w:rPr>
              <w:fldChar w:fldCharType="end"/>
            </w:r>
          </w:hyperlink>
        </w:p>
        <w:p w14:paraId="3EAE1A86" w14:textId="210CBAC1" w:rsidR="00983D9E" w:rsidRDefault="00983D9E">
          <w:pPr>
            <w:pStyle w:val="TM3"/>
            <w:tabs>
              <w:tab w:val="left" w:pos="1440"/>
              <w:tab w:val="right" w:leader="dot" w:pos="9060"/>
            </w:tabs>
            <w:rPr>
              <w:rFonts w:eastAsiaTheme="minorEastAsia"/>
              <w:noProof/>
              <w:kern w:val="2"/>
              <w:sz w:val="24"/>
              <w:szCs w:val="24"/>
              <w:lang w:eastAsia="fr-FR"/>
              <w14:ligatures w14:val="standardContextual"/>
            </w:rPr>
          </w:pPr>
          <w:hyperlink w:anchor="_Toc221704662" w:history="1">
            <w:r w:rsidRPr="002C41DC">
              <w:rPr>
                <w:rStyle w:val="Lienhypertexte"/>
                <w:noProof/>
              </w:rPr>
              <w:t>4.5.4.</w:t>
            </w:r>
            <w:r>
              <w:rPr>
                <w:rFonts w:eastAsiaTheme="minorEastAsia"/>
                <w:noProof/>
                <w:kern w:val="2"/>
                <w:sz w:val="24"/>
                <w:szCs w:val="24"/>
                <w:lang w:eastAsia="fr-FR"/>
                <w14:ligatures w14:val="standardContextual"/>
              </w:rPr>
              <w:tab/>
            </w:r>
            <w:r w:rsidRPr="002C41DC">
              <w:rPr>
                <w:rStyle w:val="Lienhypertexte"/>
                <w:noProof/>
              </w:rPr>
              <w:t>Pistes pour des recherches futures</w:t>
            </w:r>
            <w:r>
              <w:rPr>
                <w:noProof/>
                <w:webHidden/>
              </w:rPr>
              <w:tab/>
            </w:r>
            <w:r>
              <w:rPr>
                <w:noProof/>
                <w:webHidden/>
              </w:rPr>
              <w:fldChar w:fldCharType="begin"/>
            </w:r>
            <w:r>
              <w:rPr>
                <w:noProof/>
                <w:webHidden/>
              </w:rPr>
              <w:instrText xml:space="preserve"> PAGEREF _Toc221704662 \h </w:instrText>
            </w:r>
            <w:r>
              <w:rPr>
                <w:noProof/>
                <w:webHidden/>
              </w:rPr>
            </w:r>
            <w:r>
              <w:rPr>
                <w:noProof/>
                <w:webHidden/>
              </w:rPr>
              <w:fldChar w:fldCharType="separate"/>
            </w:r>
            <w:r w:rsidR="00B93EA8">
              <w:rPr>
                <w:noProof/>
                <w:webHidden/>
              </w:rPr>
              <w:t>51</w:t>
            </w:r>
            <w:r>
              <w:rPr>
                <w:noProof/>
                <w:webHidden/>
              </w:rPr>
              <w:fldChar w:fldCharType="end"/>
            </w:r>
          </w:hyperlink>
        </w:p>
        <w:p w14:paraId="383C6085" w14:textId="470C49EE" w:rsidR="00983D9E" w:rsidRDefault="00983D9E">
          <w:pPr>
            <w:pStyle w:val="TM1"/>
            <w:tabs>
              <w:tab w:val="left" w:pos="440"/>
            </w:tabs>
            <w:rPr>
              <w:rFonts w:eastAsiaTheme="minorEastAsia"/>
              <w:noProof/>
              <w:kern w:val="2"/>
              <w:sz w:val="24"/>
              <w:szCs w:val="24"/>
              <w:lang w:eastAsia="fr-FR"/>
              <w14:ligatures w14:val="standardContextual"/>
            </w:rPr>
          </w:pPr>
          <w:hyperlink w:anchor="_Toc221704663" w:history="1">
            <w:r w:rsidRPr="002C41DC">
              <w:rPr>
                <w:rStyle w:val="Lienhypertexte"/>
                <w:noProof/>
              </w:rPr>
              <w:t>5.</w:t>
            </w:r>
            <w:r>
              <w:rPr>
                <w:rFonts w:eastAsiaTheme="minorEastAsia"/>
                <w:noProof/>
                <w:kern w:val="2"/>
                <w:sz w:val="24"/>
                <w:szCs w:val="24"/>
                <w:lang w:eastAsia="fr-FR"/>
                <w14:ligatures w14:val="standardContextual"/>
              </w:rPr>
              <w:tab/>
            </w:r>
            <w:r w:rsidRPr="002C41DC">
              <w:rPr>
                <w:rStyle w:val="Lienhypertexte"/>
                <w:noProof/>
              </w:rPr>
              <w:t>Conclusion</w:t>
            </w:r>
            <w:r>
              <w:rPr>
                <w:noProof/>
                <w:webHidden/>
              </w:rPr>
              <w:tab/>
            </w:r>
            <w:r>
              <w:rPr>
                <w:noProof/>
                <w:webHidden/>
              </w:rPr>
              <w:fldChar w:fldCharType="begin"/>
            </w:r>
            <w:r>
              <w:rPr>
                <w:noProof/>
                <w:webHidden/>
              </w:rPr>
              <w:instrText xml:space="preserve"> PAGEREF _Toc221704663 \h </w:instrText>
            </w:r>
            <w:r>
              <w:rPr>
                <w:noProof/>
                <w:webHidden/>
              </w:rPr>
            </w:r>
            <w:r>
              <w:rPr>
                <w:noProof/>
                <w:webHidden/>
              </w:rPr>
              <w:fldChar w:fldCharType="separate"/>
            </w:r>
            <w:r w:rsidR="00B93EA8">
              <w:rPr>
                <w:noProof/>
                <w:webHidden/>
              </w:rPr>
              <w:t>52</w:t>
            </w:r>
            <w:r>
              <w:rPr>
                <w:noProof/>
                <w:webHidden/>
              </w:rPr>
              <w:fldChar w:fldCharType="end"/>
            </w:r>
          </w:hyperlink>
        </w:p>
        <w:p w14:paraId="7F4F9FFC" w14:textId="01228BCD" w:rsidR="00983D9E" w:rsidRDefault="00983D9E">
          <w:pPr>
            <w:pStyle w:val="TM1"/>
            <w:tabs>
              <w:tab w:val="left" w:pos="440"/>
            </w:tabs>
            <w:rPr>
              <w:rFonts w:eastAsiaTheme="minorEastAsia"/>
              <w:noProof/>
              <w:kern w:val="2"/>
              <w:sz w:val="24"/>
              <w:szCs w:val="24"/>
              <w:lang w:eastAsia="fr-FR"/>
              <w14:ligatures w14:val="standardContextual"/>
            </w:rPr>
          </w:pPr>
          <w:hyperlink w:anchor="_Toc221704664" w:history="1">
            <w:r w:rsidRPr="002C41DC">
              <w:rPr>
                <w:rStyle w:val="Lienhypertexte"/>
                <w:noProof/>
              </w:rPr>
              <w:t>6.</w:t>
            </w:r>
            <w:r>
              <w:rPr>
                <w:rFonts w:eastAsiaTheme="minorEastAsia"/>
                <w:noProof/>
                <w:kern w:val="2"/>
                <w:sz w:val="24"/>
                <w:szCs w:val="24"/>
                <w:lang w:eastAsia="fr-FR"/>
                <w14:ligatures w14:val="standardContextual"/>
              </w:rPr>
              <w:tab/>
            </w:r>
            <w:r w:rsidRPr="002C41DC">
              <w:rPr>
                <w:rStyle w:val="Lienhypertexte"/>
                <w:noProof/>
              </w:rPr>
              <w:t>Bibliographie</w:t>
            </w:r>
            <w:r>
              <w:rPr>
                <w:noProof/>
                <w:webHidden/>
              </w:rPr>
              <w:tab/>
            </w:r>
            <w:r>
              <w:rPr>
                <w:noProof/>
                <w:webHidden/>
              </w:rPr>
              <w:fldChar w:fldCharType="begin"/>
            </w:r>
            <w:r>
              <w:rPr>
                <w:noProof/>
                <w:webHidden/>
              </w:rPr>
              <w:instrText xml:space="preserve"> PAGEREF _Toc221704664 \h </w:instrText>
            </w:r>
            <w:r>
              <w:rPr>
                <w:noProof/>
                <w:webHidden/>
              </w:rPr>
            </w:r>
            <w:r>
              <w:rPr>
                <w:noProof/>
                <w:webHidden/>
              </w:rPr>
              <w:fldChar w:fldCharType="separate"/>
            </w:r>
            <w:r w:rsidR="00B93EA8">
              <w:rPr>
                <w:noProof/>
                <w:webHidden/>
              </w:rPr>
              <w:t>53</w:t>
            </w:r>
            <w:r>
              <w:rPr>
                <w:noProof/>
                <w:webHidden/>
              </w:rPr>
              <w:fldChar w:fldCharType="end"/>
            </w:r>
          </w:hyperlink>
        </w:p>
        <w:p w14:paraId="2CB9864D" w14:textId="069CD22F" w:rsidR="00983D9E" w:rsidRDefault="00983D9E">
          <w:pPr>
            <w:pStyle w:val="TM1"/>
            <w:tabs>
              <w:tab w:val="left" w:pos="440"/>
            </w:tabs>
            <w:rPr>
              <w:rFonts w:eastAsiaTheme="minorEastAsia"/>
              <w:noProof/>
              <w:kern w:val="2"/>
              <w:sz w:val="24"/>
              <w:szCs w:val="24"/>
              <w:lang w:eastAsia="fr-FR"/>
              <w14:ligatures w14:val="standardContextual"/>
            </w:rPr>
          </w:pPr>
          <w:hyperlink w:anchor="_Toc221704665" w:history="1">
            <w:r w:rsidRPr="002C41DC">
              <w:rPr>
                <w:rStyle w:val="Lienhypertexte"/>
                <w:noProof/>
              </w:rPr>
              <w:t>7.</w:t>
            </w:r>
            <w:r>
              <w:rPr>
                <w:rFonts w:eastAsiaTheme="minorEastAsia"/>
                <w:noProof/>
                <w:kern w:val="2"/>
                <w:sz w:val="24"/>
                <w:szCs w:val="24"/>
                <w:lang w:eastAsia="fr-FR"/>
                <w14:ligatures w14:val="standardContextual"/>
              </w:rPr>
              <w:tab/>
            </w:r>
            <w:r w:rsidRPr="002C41DC">
              <w:rPr>
                <w:rStyle w:val="Lienhypertexte"/>
                <w:noProof/>
              </w:rPr>
              <w:t>Table des annexes</w:t>
            </w:r>
            <w:r>
              <w:rPr>
                <w:noProof/>
                <w:webHidden/>
              </w:rPr>
              <w:tab/>
            </w:r>
            <w:r>
              <w:rPr>
                <w:noProof/>
                <w:webHidden/>
              </w:rPr>
              <w:fldChar w:fldCharType="begin"/>
            </w:r>
            <w:r>
              <w:rPr>
                <w:noProof/>
                <w:webHidden/>
              </w:rPr>
              <w:instrText xml:space="preserve"> PAGEREF _Toc221704665 \h </w:instrText>
            </w:r>
            <w:r>
              <w:rPr>
                <w:noProof/>
                <w:webHidden/>
              </w:rPr>
            </w:r>
            <w:r>
              <w:rPr>
                <w:noProof/>
                <w:webHidden/>
              </w:rPr>
              <w:fldChar w:fldCharType="separate"/>
            </w:r>
            <w:r w:rsidR="00B93EA8">
              <w:rPr>
                <w:noProof/>
                <w:webHidden/>
              </w:rPr>
              <w:t>62</w:t>
            </w:r>
            <w:r>
              <w:rPr>
                <w:noProof/>
                <w:webHidden/>
              </w:rPr>
              <w:fldChar w:fldCharType="end"/>
            </w:r>
          </w:hyperlink>
        </w:p>
        <w:p w14:paraId="1776E467" w14:textId="64620645" w:rsidR="0087173D" w:rsidRPr="00962C41" w:rsidRDefault="00E426C4" w:rsidP="001C18E0">
          <w:pPr>
            <w:spacing w:line="360" w:lineRule="auto"/>
            <w:jc w:val="both"/>
            <w:rPr>
              <w:rFonts w:ascii="Times New Roman" w:hAnsi="Times New Roman" w:cs="Times New Roman"/>
            </w:rPr>
          </w:pPr>
          <w:r w:rsidRPr="00962C41">
            <w:rPr>
              <w:rFonts w:ascii="Times New Roman" w:hAnsi="Times New Roman" w:cs="Times New Roman"/>
              <w:b/>
              <w:bCs/>
            </w:rPr>
            <w:fldChar w:fldCharType="end"/>
          </w:r>
        </w:p>
      </w:sdtContent>
    </w:sdt>
    <w:p w14:paraId="2B0E3276" w14:textId="77777777" w:rsidR="008713FA" w:rsidRDefault="008713FA" w:rsidP="008713FA">
      <w:pPr>
        <w:pStyle w:val="Titre1"/>
        <w:numPr>
          <w:ilvl w:val="0"/>
          <w:numId w:val="0"/>
        </w:numPr>
        <w:spacing w:line="360" w:lineRule="auto"/>
        <w:ind w:left="397"/>
        <w:jc w:val="both"/>
      </w:pPr>
    </w:p>
    <w:p w14:paraId="11E0D990" w14:textId="77777777" w:rsidR="008713FA" w:rsidRDefault="008713FA" w:rsidP="008713FA"/>
    <w:p w14:paraId="53BBF0AA" w14:textId="77777777" w:rsidR="008713FA" w:rsidRDefault="008713FA" w:rsidP="008713FA"/>
    <w:p w14:paraId="57B17E32" w14:textId="77777777" w:rsidR="008713FA" w:rsidRDefault="008713FA" w:rsidP="008713FA"/>
    <w:p w14:paraId="7523E10F" w14:textId="77777777" w:rsidR="008713FA" w:rsidRDefault="008713FA" w:rsidP="008713FA"/>
    <w:p w14:paraId="05BD422A" w14:textId="77777777" w:rsidR="008713FA" w:rsidRDefault="008713FA" w:rsidP="008713FA">
      <w:pPr>
        <w:jc w:val="center"/>
        <w:rPr>
          <w:b/>
          <w:bCs/>
          <w:sz w:val="28"/>
          <w:szCs w:val="28"/>
        </w:rPr>
      </w:pPr>
      <w:r>
        <w:rPr>
          <w:b/>
          <w:bCs/>
          <w:sz w:val="28"/>
          <w:szCs w:val="28"/>
        </w:rPr>
        <w:t>Table des tableaux</w:t>
      </w:r>
    </w:p>
    <w:p w14:paraId="3B63DDFD" w14:textId="77777777" w:rsidR="008713FA" w:rsidRDefault="008713FA" w:rsidP="008713FA">
      <w:pPr>
        <w:jc w:val="center"/>
        <w:rPr>
          <w:b/>
          <w:bCs/>
          <w:sz w:val="28"/>
          <w:szCs w:val="28"/>
        </w:rPr>
      </w:pPr>
    </w:p>
    <w:p w14:paraId="6756C2BC" w14:textId="4AC63AC8" w:rsidR="008713FA" w:rsidRDefault="008713FA">
      <w:pPr>
        <w:pStyle w:val="Tabledesillustrations"/>
        <w:tabs>
          <w:tab w:val="right" w:leader="dot" w:pos="9060"/>
        </w:tabs>
        <w:rPr>
          <w:rFonts w:eastAsiaTheme="minorEastAsia"/>
          <w:noProof/>
          <w:kern w:val="2"/>
          <w:sz w:val="24"/>
          <w:szCs w:val="24"/>
          <w:lang w:eastAsia="fr-FR"/>
          <w14:ligatures w14:val="standardContextual"/>
        </w:rPr>
      </w:pPr>
      <w:r>
        <w:rPr>
          <w:b/>
          <w:bCs/>
          <w:sz w:val="28"/>
          <w:szCs w:val="28"/>
        </w:rPr>
        <w:fldChar w:fldCharType="begin"/>
      </w:r>
      <w:r>
        <w:rPr>
          <w:b/>
          <w:bCs/>
          <w:sz w:val="28"/>
          <w:szCs w:val="28"/>
        </w:rPr>
        <w:instrText xml:space="preserve"> TOC \h \z \c "Tableau" </w:instrText>
      </w:r>
      <w:r>
        <w:rPr>
          <w:b/>
          <w:bCs/>
          <w:sz w:val="28"/>
          <w:szCs w:val="28"/>
        </w:rPr>
        <w:fldChar w:fldCharType="separate"/>
      </w:r>
      <w:hyperlink w:anchor="_Toc221441182" w:history="1">
        <w:r w:rsidRPr="00FF1F36">
          <w:rPr>
            <w:rStyle w:val="Lienhypertexte"/>
            <w:noProof/>
          </w:rPr>
          <w:t>Tableau 1: Années de pratique par participant (en nombre de répondants)</w:t>
        </w:r>
        <w:r>
          <w:rPr>
            <w:noProof/>
            <w:webHidden/>
          </w:rPr>
          <w:tab/>
        </w:r>
        <w:r>
          <w:rPr>
            <w:noProof/>
            <w:webHidden/>
          </w:rPr>
          <w:fldChar w:fldCharType="begin"/>
        </w:r>
        <w:r>
          <w:rPr>
            <w:noProof/>
            <w:webHidden/>
          </w:rPr>
          <w:instrText xml:space="preserve"> PAGEREF _Toc221441182 \h </w:instrText>
        </w:r>
        <w:r>
          <w:rPr>
            <w:noProof/>
            <w:webHidden/>
          </w:rPr>
        </w:r>
        <w:r>
          <w:rPr>
            <w:noProof/>
            <w:webHidden/>
          </w:rPr>
          <w:fldChar w:fldCharType="separate"/>
        </w:r>
        <w:r w:rsidR="00B93EA8">
          <w:rPr>
            <w:noProof/>
            <w:webHidden/>
          </w:rPr>
          <w:t>34</w:t>
        </w:r>
        <w:r>
          <w:rPr>
            <w:noProof/>
            <w:webHidden/>
          </w:rPr>
          <w:fldChar w:fldCharType="end"/>
        </w:r>
      </w:hyperlink>
    </w:p>
    <w:p w14:paraId="0679A72D" w14:textId="27D71EC1"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183" w:history="1">
        <w:r w:rsidRPr="00FF1F36">
          <w:rPr>
            <w:rStyle w:val="Lienhypertexte"/>
            <w:noProof/>
          </w:rPr>
          <w:t>Tableau 2: Fréquence d'utilisation des tests par les répondants</w:t>
        </w:r>
        <w:r>
          <w:rPr>
            <w:noProof/>
            <w:webHidden/>
          </w:rPr>
          <w:tab/>
        </w:r>
        <w:r>
          <w:rPr>
            <w:noProof/>
            <w:webHidden/>
          </w:rPr>
          <w:fldChar w:fldCharType="begin"/>
        </w:r>
        <w:r>
          <w:rPr>
            <w:noProof/>
            <w:webHidden/>
          </w:rPr>
          <w:instrText xml:space="preserve"> PAGEREF _Toc221441183 \h </w:instrText>
        </w:r>
        <w:r>
          <w:rPr>
            <w:noProof/>
            <w:webHidden/>
          </w:rPr>
        </w:r>
        <w:r>
          <w:rPr>
            <w:noProof/>
            <w:webHidden/>
          </w:rPr>
          <w:fldChar w:fldCharType="separate"/>
        </w:r>
        <w:r w:rsidR="00B93EA8">
          <w:rPr>
            <w:noProof/>
            <w:webHidden/>
          </w:rPr>
          <w:t>37</w:t>
        </w:r>
        <w:r>
          <w:rPr>
            <w:noProof/>
            <w:webHidden/>
          </w:rPr>
          <w:fldChar w:fldCharType="end"/>
        </w:r>
      </w:hyperlink>
    </w:p>
    <w:p w14:paraId="040F2D03" w14:textId="2241DF85"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184" w:history="1">
        <w:r w:rsidRPr="00FF1F36">
          <w:rPr>
            <w:rStyle w:val="Lienhypertexte"/>
            <w:noProof/>
          </w:rPr>
          <w:t>Tableau 3: La formation des cliniciens et leur intérêt pour une formation complémentaire</w:t>
        </w:r>
        <w:r>
          <w:rPr>
            <w:noProof/>
            <w:webHidden/>
          </w:rPr>
          <w:tab/>
        </w:r>
        <w:r>
          <w:rPr>
            <w:noProof/>
            <w:webHidden/>
          </w:rPr>
          <w:fldChar w:fldCharType="begin"/>
        </w:r>
        <w:r>
          <w:rPr>
            <w:noProof/>
            <w:webHidden/>
          </w:rPr>
          <w:instrText xml:space="preserve"> PAGEREF _Toc221441184 \h </w:instrText>
        </w:r>
        <w:r>
          <w:rPr>
            <w:noProof/>
            <w:webHidden/>
          </w:rPr>
        </w:r>
        <w:r>
          <w:rPr>
            <w:noProof/>
            <w:webHidden/>
          </w:rPr>
          <w:fldChar w:fldCharType="separate"/>
        </w:r>
        <w:r w:rsidR="00B93EA8">
          <w:rPr>
            <w:noProof/>
            <w:webHidden/>
          </w:rPr>
          <w:t>41</w:t>
        </w:r>
        <w:r>
          <w:rPr>
            <w:noProof/>
            <w:webHidden/>
          </w:rPr>
          <w:fldChar w:fldCharType="end"/>
        </w:r>
      </w:hyperlink>
    </w:p>
    <w:p w14:paraId="1CE12862" w14:textId="77777777" w:rsidR="008713FA" w:rsidRDefault="008713FA" w:rsidP="008713FA">
      <w:pPr>
        <w:jc w:val="center"/>
        <w:rPr>
          <w:b/>
          <w:bCs/>
          <w:sz w:val="28"/>
          <w:szCs w:val="28"/>
        </w:rPr>
      </w:pPr>
      <w:r>
        <w:rPr>
          <w:b/>
          <w:bCs/>
          <w:sz w:val="28"/>
          <w:szCs w:val="28"/>
        </w:rPr>
        <w:fldChar w:fldCharType="end"/>
      </w:r>
    </w:p>
    <w:p w14:paraId="47CDE45B" w14:textId="77777777" w:rsidR="008713FA" w:rsidRDefault="008713FA" w:rsidP="008713FA">
      <w:pPr>
        <w:jc w:val="center"/>
        <w:rPr>
          <w:b/>
          <w:bCs/>
          <w:sz w:val="28"/>
          <w:szCs w:val="28"/>
        </w:rPr>
      </w:pPr>
    </w:p>
    <w:p w14:paraId="5EF90752" w14:textId="77777777" w:rsidR="008713FA" w:rsidRDefault="008713FA" w:rsidP="008713FA">
      <w:pPr>
        <w:jc w:val="center"/>
        <w:rPr>
          <w:b/>
          <w:bCs/>
          <w:sz w:val="28"/>
          <w:szCs w:val="28"/>
        </w:rPr>
      </w:pPr>
    </w:p>
    <w:p w14:paraId="37D729A8" w14:textId="77777777" w:rsidR="008713FA" w:rsidRDefault="008713FA" w:rsidP="008713FA">
      <w:pPr>
        <w:jc w:val="center"/>
        <w:rPr>
          <w:b/>
          <w:bCs/>
          <w:sz w:val="28"/>
          <w:szCs w:val="28"/>
        </w:rPr>
      </w:pPr>
    </w:p>
    <w:p w14:paraId="76F20C80" w14:textId="77777777" w:rsidR="008713FA" w:rsidRDefault="008713FA" w:rsidP="008713FA">
      <w:pPr>
        <w:jc w:val="center"/>
        <w:rPr>
          <w:b/>
          <w:bCs/>
          <w:sz w:val="28"/>
          <w:szCs w:val="28"/>
        </w:rPr>
      </w:pPr>
      <w:r>
        <w:rPr>
          <w:b/>
          <w:bCs/>
          <w:sz w:val="28"/>
          <w:szCs w:val="28"/>
        </w:rPr>
        <w:t xml:space="preserve">Table des figures </w:t>
      </w:r>
    </w:p>
    <w:p w14:paraId="48E15E23" w14:textId="77777777" w:rsidR="008713FA" w:rsidRDefault="008713FA" w:rsidP="008713FA">
      <w:pPr>
        <w:jc w:val="center"/>
        <w:rPr>
          <w:b/>
          <w:bCs/>
          <w:sz w:val="28"/>
          <w:szCs w:val="28"/>
        </w:rPr>
      </w:pPr>
    </w:p>
    <w:p w14:paraId="0EDC8A57" w14:textId="3A0F9CD7" w:rsidR="008713FA" w:rsidRDefault="008713FA">
      <w:pPr>
        <w:pStyle w:val="Tabledesillustrations"/>
        <w:tabs>
          <w:tab w:val="right" w:leader="dot" w:pos="9060"/>
        </w:tabs>
        <w:rPr>
          <w:rFonts w:eastAsiaTheme="minorEastAsia"/>
          <w:noProof/>
          <w:kern w:val="2"/>
          <w:sz w:val="24"/>
          <w:szCs w:val="24"/>
          <w:lang w:eastAsia="fr-FR"/>
          <w14:ligatures w14:val="standardContextual"/>
        </w:rPr>
      </w:pPr>
      <w:r>
        <w:rPr>
          <w:b/>
          <w:bCs/>
          <w:sz w:val="28"/>
          <w:szCs w:val="28"/>
        </w:rPr>
        <w:fldChar w:fldCharType="begin"/>
      </w:r>
      <w:r>
        <w:rPr>
          <w:b/>
          <w:bCs/>
          <w:sz w:val="28"/>
          <w:szCs w:val="28"/>
        </w:rPr>
        <w:instrText xml:space="preserve"> TOC \h \z \c "Figure" </w:instrText>
      </w:r>
      <w:r>
        <w:rPr>
          <w:b/>
          <w:bCs/>
          <w:sz w:val="28"/>
          <w:szCs w:val="28"/>
        </w:rPr>
        <w:fldChar w:fldCharType="separate"/>
      </w:r>
      <w:hyperlink w:anchor="_Toc221441340" w:history="1">
        <w:r w:rsidRPr="00394F16">
          <w:rPr>
            <w:rStyle w:val="Lienhypertexte"/>
            <w:noProof/>
          </w:rPr>
          <w:t>Figure 1: Force musculaire en fonction de l'âge (Cruz-Jentoft et al., 2019)</w:t>
        </w:r>
        <w:r>
          <w:rPr>
            <w:noProof/>
            <w:webHidden/>
          </w:rPr>
          <w:tab/>
        </w:r>
        <w:r>
          <w:rPr>
            <w:noProof/>
            <w:webHidden/>
          </w:rPr>
          <w:fldChar w:fldCharType="begin"/>
        </w:r>
        <w:r>
          <w:rPr>
            <w:noProof/>
            <w:webHidden/>
          </w:rPr>
          <w:instrText xml:space="preserve"> PAGEREF _Toc221441340 \h </w:instrText>
        </w:r>
        <w:r>
          <w:rPr>
            <w:noProof/>
            <w:webHidden/>
          </w:rPr>
        </w:r>
        <w:r>
          <w:rPr>
            <w:noProof/>
            <w:webHidden/>
          </w:rPr>
          <w:fldChar w:fldCharType="separate"/>
        </w:r>
        <w:r w:rsidR="00B93EA8">
          <w:rPr>
            <w:noProof/>
            <w:webHidden/>
          </w:rPr>
          <w:t>6</w:t>
        </w:r>
        <w:r>
          <w:rPr>
            <w:noProof/>
            <w:webHidden/>
          </w:rPr>
          <w:fldChar w:fldCharType="end"/>
        </w:r>
      </w:hyperlink>
    </w:p>
    <w:p w14:paraId="3DB3ECA5" w14:textId="28EE9C55"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1" w:history="1">
        <w:r w:rsidRPr="00394F16">
          <w:rPr>
            <w:rStyle w:val="Lienhypertexte"/>
            <w:noProof/>
          </w:rPr>
          <w:t>Figure 2: Résumé des facteurs pathogènes impliquant la chute chez les personnes âgées (Xing et al., 2023b)</w:t>
        </w:r>
        <w:r>
          <w:rPr>
            <w:noProof/>
            <w:webHidden/>
          </w:rPr>
          <w:tab/>
        </w:r>
        <w:r>
          <w:rPr>
            <w:noProof/>
            <w:webHidden/>
          </w:rPr>
          <w:fldChar w:fldCharType="begin"/>
        </w:r>
        <w:r>
          <w:rPr>
            <w:noProof/>
            <w:webHidden/>
          </w:rPr>
          <w:instrText xml:space="preserve"> PAGEREF _Toc221441341 \h </w:instrText>
        </w:r>
        <w:r>
          <w:rPr>
            <w:noProof/>
            <w:webHidden/>
          </w:rPr>
        </w:r>
        <w:r>
          <w:rPr>
            <w:noProof/>
            <w:webHidden/>
          </w:rPr>
          <w:fldChar w:fldCharType="separate"/>
        </w:r>
        <w:r w:rsidR="00B93EA8">
          <w:rPr>
            <w:noProof/>
            <w:webHidden/>
          </w:rPr>
          <w:t>9</w:t>
        </w:r>
        <w:r>
          <w:rPr>
            <w:noProof/>
            <w:webHidden/>
          </w:rPr>
          <w:fldChar w:fldCharType="end"/>
        </w:r>
      </w:hyperlink>
    </w:p>
    <w:p w14:paraId="3A8A42E5" w14:textId="6E7BF2B0"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2" w:history="1">
        <w:r w:rsidRPr="00394F16">
          <w:rPr>
            <w:rStyle w:val="Lienhypertexte"/>
            <w:noProof/>
          </w:rPr>
          <w:t>Figure 3: Représentation graphique du centre de masse et du centre de pression (Pichon, 2023)</w:t>
        </w:r>
        <w:r>
          <w:rPr>
            <w:noProof/>
            <w:webHidden/>
          </w:rPr>
          <w:tab/>
        </w:r>
        <w:r>
          <w:rPr>
            <w:noProof/>
            <w:webHidden/>
          </w:rPr>
          <w:fldChar w:fldCharType="begin"/>
        </w:r>
        <w:r>
          <w:rPr>
            <w:noProof/>
            <w:webHidden/>
          </w:rPr>
          <w:instrText xml:space="preserve"> PAGEREF _Toc221441342 \h </w:instrText>
        </w:r>
        <w:r>
          <w:rPr>
            <w:noProof/>
            <w:webHidden/>
          </w:rPr>
        </w:r>
        <w:r>
          <w:rPr>
            <w:noProof/>
            <w:webHidden/>
          </w:rPr>
          <w:fldChar w:fldCharType="separate"/>
        </w:r>
        <w:r w:rsidR="00B93EA8">
          <w:rPr>
            <w:noProof/>
            <w:webHidden/>
          </w:rPr>
          <w:t>10</w:t>
        </w:r>
        <w:r>
          <w:rPr>
            <w:noProof/>
            <w:webHidden/>
          </w:rPr>
          <w:fldChar w:fldCharType="end"/>
        </w:r>
      </w:hyperlink>
    </w:p>
    <w:p w14:paraId="65351392" w14:textId="1E2569A4"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3" w:history="1">
        <w:r w:rsidRPr="00394F16">
          <w:rPr>
            <w:rStyle w:val="Lienhypertexte"/>
            <w:noProof/>
          </w:rPr>
          <w:t>Figure 4: Résumé des items du Balance Evaluation Systems Test (BESTest) regroupés par catégorie de systèmes</w:t>
        </w:r>
        <w:r>
          <w:rPr>
            <w:noProof/>
            <w:webHidden/>
          </w:rPr>
          <w:tab/>
        </w:r>
        <w:r>
          <w:rPr>
            <w:noProof/>
            <w:webHidden/>
          </w:rPr>
          <w:fldChar w:fldCharType="begin"/>
        </w:r>
        <w:r>
          <w:rPr>
            <w:noProof/>
            <w:webHidden/>
          </w:rPr>
          <w:instrText xml:space="preserve"> PAGEREF _Toc221441343 \h </w:instrText>
        </w:r>
        <w:r>
          <w:rPr>
            <w:noProof/>
            <w:webHidden/>
          </w:rPr>
        </w:r>
        <w:r>
          <w:rPr>
            <w:noProof/>
            <w:webHidden/>
          </w:rPr>
          <w:fldChar w:fldCharType="separate"/>
        </w:r>
        <w:r w:rsidR="00B93EA8">
          <w:rPr>
            <w:noProof/>
            <w:webHidden/>
          </w:rPr>
          <w:t>16</w:t>
        </w:r>
        <w:r>
          <w:rPr>
            <w:noProof/>
            <w:webHidden/>
          </w:rPr>
          <w:fldChar w:fldCharType="end"/>
        </w:r>
      </w:hyperlink>
    </w:p>
    <w:p w14:paraId="403CB3B6" w14:textId="21CE7DD6"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4" w:history="1">
        <w:r w:rsidRPr="00394F16">
          <w:rPr>
            <w:rStyle w:val="Lienhypertexte"/>
            <w:noProof/>
          </w:rPr>
          <w:t>Figure 5: Formule de calcul crée par Charan</w:t>
        </w:r>
        <w:r>
          <w:rPr>
            <w:noProof/>
            <w:webHidden/>
          </w:rPr>
          <w:tab/>
        </w:r>
        <w:r>
          <w:rPr>
            <w:noProof/>
            <w:webHidden/>
          </w:rPr>
          <w:fldChar w:fldCharType="begin"/>
        </w:r>
        <w:r>
          <w:rPr>
            <w:noProof/>
            <w:webHidden/>
          </w:rPr>
          <w:instrText xml:space="preserve"> PAGEREF _Toc221441344 \h </w:instrText>
        </w:r>
        <w:r>
          <w:rPr>
            <w:noProof/>
            <w:webHidden/>
          </w:rPr>
        </w:r>
        <w:r>
          <w:rPr>
            <w:noProof/>
            <w:webHidden/>
          </w:rPr>
          <w:fldChar w:fldCharType="separate"/>
        </w:r>
        <w:r w:rsidR="00B93EA8">
          <w:rPr>
            <w:noProof/>
            <w:webHidden/>
          </w:rPr>
          <w:t>23</w:t>
        </w:r>
        <w:r>
          <w:rPr>
            <w:noProof/>
            <w:webHidden/>
          </w:rPr>
          <w:fldChar w:fldCharType="end"/>
        </w:r>
      </w:hyperlink>
    </w:p>
    <w:p w14:paraId="73C727A1" w14:textId="634FE5DD"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5" w:history="1">
        <w:r w:rsidRPr="00394F16">
          <w:rPr>
            <w:rStyle w:val="Lienhypertexte"/>
            <w:noProof/>
          </w:rPr>
          <w:t>Figure 6: Flyer utilisé pour la diffusion du questionnaire</w:t>
        </w:r>
        <w:r>
          <w:rPr>
            <w:noProof/>
            <w:webHidden/>
          </w:rPr>
          <w:tab/>
        </w:r>
        <w:r>
          <w:rPr>
            <w:noProof/>
            <w:webHidden/>
          </w:rPr>
          <w:fldChar w:fldCharType="begin"/>
        </w:r>
        <w:r>
          <w:rPr>
            <w:noProof/>
            <w:webHidden/>
          </w:rPr>
          <w:instrText xml:space="preserve"> PAGEREF _Toc221441345 \h </w:instrText>
        </w:r>
        <w:r>
          <w:rPr>
            <w:noProof/>
            <w:webHidden/>
          </w:rPr>
        </w:r>
        <w:r>
          <w:rPr>
            <w:noProof/>
            <w:webHidden/>
          </w:rPr>
          <w:fldChar w:fldCharType="separate"/>
        </w:r>
        <w:r w:rsidR="00B93EA8">
          <w:rPr>
            <w:noProof/>
            <w:webHidden/>
          </w:rPr>
          <w:t>28</w:t>
        </w:r>
        <w:r>
          <w:rPr>
            <w:noProof/>
            <w:webHidden/>
          </w:rPr>
          <w:fldChar w:fldCharType="end"/>
        </w:r>
      </w:hyperlink>
    </w:p>
    <w:p w14:paraId="3A483583" w14:textId="20184E83"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6" w:history="1">
        <w:r w:rsidRPr="00394F16">
          <w:rPr>
            <w:rStyle w:val="Lienhypertexte"/>
            <w:noProof/>
          </w:rPr>
          <w:t>Figure 7: diagramme de la répartition par genre de la population</w:t>
        </w:r>
        <w:r>
          <w:rPr>
            <w:noProof/>
            <w:webHidden/>
          </w:rPr>
          <w:tab/>
        </w:r>
        <w:r>
          <w:rPr>
            <w:noProof/>
            <w:webHidden/>
          </w:rPr>
          <w:fldChar w:fldCharType="begin"/>
        </w:r>
        <w:r>
          <w:rPr>
            <w:noProof/>
            <w:webHidden/>
          </w:rPr>
          <w:instrText xml:space="preserve"> PAGEREF _Toc221441346 \h </w:instrText>
        </w:r>
        <w:r>
          <w:rPr>
            <w:noProof/>
            <w:webHidden/>
          </w:rPr>
        </w:r>
        <w:r>
          <w:rPr>
            <w:noProof/>
            <w:webHidden/>
          </w:rPr>
          <w:fldChar w:fldCharType="separate"/>
        </w:r>
        <w:r w:rsidR="00B93EA8">
          <w:rPr>
            <w:noProof/>
            <w:webHidden/>
          </w:rPr>
          <w:t>32</w:t>
        </w:r>
        <w:r>
          <w:rPr>
            <w:noProof/>
            <w:webHidden/>
          </w:rPr>
          <w:fldChar w:fldCharType="end"/>
        </w:r>
      </w:hyperlink>
    </w:p>
    <w:p w14:paraId="7F39BD53" w14:textId="1C44F840"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7" w:history="1">
        <w:r w:rsidRPr="00394F16">
          <w:rPr>
            <w:rStyle w:val="Lienhypertexte"/>
            <w:noProof/>
          </w:rPr>
          <w:t>Figure 8: histogramme de la répartition par âge des participants</w:t>
        </w:r>
        <w:r>
          <w:rPr>
            <w:noProof/>
            <w:webHidden/>
          </w:rPr>
          <w:tab/>
        </w:r>
        <w:r>
          <w:rPr>
            <w:noProof/>
            <w:webHidden/>
          </w:rPr>
          <w:fldChar w:fldCharType="begin"/>
        </w:r>
        <w:r>
          <w:rPr>
            <w:noProof/>
            <w:webHidden/>
          </w:rPr>
          <w:instrText xml:space="preserve"> PAGEREF _Toc221441347 \h </w:instrText>
        </w:r>
        <w:r>
          <w:rPr>
            <w:noProof/>
            <w:webHidden/>
          </w:rPr>
        </w:r>
        <w:r>
          <w:rPr>
            <w:noProof/>
            <w:webHidden/>
          </w:rPr>
          <w:fldChar w:fldCharType="separate"/>
        </w:r>
        <w:r w:rsidR="00B93EA8">
          <w:rPr>
            <w:noProof/>
            <w:webHidden/>
          </w:rPr>
          <w:t>32</w:t>
        </w:r>
        <w:r>
          <w:rPr>
            <w:noProof/>
            <w:webHidden/>
          </w:rPr>
          <w:fldChar w:fldCharType="end"/>
        </w:r>
      </w:hyperlink>
    </w:p>
    <w:p w14:paraId="65211814" w14:textId="69DD8450"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8" w:history="1">
        <w:r w:rsidRPr="00394F16">
          <w:rPr>
            <w:rStyle w:val="Lienhypertexte"/>
            <w:noProof/>
          </w:rPr>
          <w:t>Figure 9: Histogramme de répartition des participants en fonction du type de structure (en nombre de répondants)</w:t>
        </w:r>
        <w:r>
          <w:rPr>
            <w:noProof/>
            <w:webHidden/>
          </w:rPr>
          <w:tab/>
        </w:r>
        <w:r>
          <w:rPr>
            <w:noProof/>
            <w:webHidden/>
          </w:rPr>
          <w:fldChar w:fldCharType="begin"/>
        </w:r>
        <w:r>
          <w:rPr>
            <w:noProof/>
            <w:webHidden/>
          </w:rPr>
          <w:instrText xml:space="preserve"> PAGEREF _Toc221441348 \h </w:instrText>
        </w:r>
        <w:r>
          <w:rPr>
            <w:noProof/>
            <w:webHidden/>
          </w:rPr>
        </w:r>
        <w:r>
          <w:rPr>
            <w:noProof/>
            <w:webHidden/>
          </w:rPr>
          <w:fldChar w:fldCharType="separate"/>
        </w:r>
        <w:r w:rsidR="00B93EA8">
          <w:rPr>
            <w:noProof/>
            <w:webHidden/>
          </w:rPr>
          <w:t>33</w:t>
        </w:r>
        <w:r>
          <w:rPr>
            <w:noProof/>
            <w:webHidden/>
          </w:rPr>
          <w:fldChar w:fldCharType="end"/>
        </w:r>
      </w:hyperlink>
    </w:p>
    <w:p w14:paraId="41A5ABEE" w14:textId="4C1CC644"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49" w:history="1">
        <w:r w:rsidRPr="00394F16">
          <w:rPr>
            <w:rStyle w:val="Lienhypertexte"/>
            <w:noProof/>
          </w:rPr>
          <w:t>Figure 10: répartition géographique des participants (en nombre de répondants)</w:t>
        </w:r>
        <w:r>
          <w:rPr>
            <w:noProof/>
            <w:webHidden/>
          </w:rPr>
          <w:tab/>
        </w:r>
        <w:r>
          <w:rPr>
            <w:noProof/>
            <w:webHidden/>
          </w:rPr>
          <w:fldChar w:fldCharType="begin"/>
        </w:r>
        <w:r>
          <w:rPr>
            <w:noProof/>
            <w:webHidden/>
          </w:rPr>
          <w:instrText xml:space="preserve"> PAGEREF _Toc221441349 \h </w:instrText>
        </w:r>
        <w:r>
          <w:rPr>
            <w:noProof/>
            <w:webHidden/>
          </w:rPr>
        </w:r>
        <w:r>
          <w:rPr>
            <w:noProof/>
            <w:webHidden/>
          </w:rPr>
          <w:fldChar w:fldCharType="separate"/>
        </w:r>
        <w:r w:rsidR="00B93EA8">
          <w:rPr>
            <w:noProof/>
            <w:webHidden/>
          </w:rPr>
          <w:t>34</w:t>
        </w:r>
        <w:r>
          <w:rPr>
            <w:noProof/>
            <w:webHidden/>
          </w:rPr>
          <w:fldChar w:fldCharType="end"/>
        </w:r>
      </w:hyperlink>
    </w:p>
    <w:p w14:paraId="0BC19C2F" w14:textId="18C77DE9"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0" w:history="1">
        <w:r w:rsidRPr="00394F16">
          <w:rPr>
            <w:rStyle w:val="Lienhypertexte"/>
            <w:noProof/>
          </w:rPr>
          <w:t>Figure 11: Proportion des PA parmi la patientèle des participants (en nombre de répondants)</w:t>
        </w:r>
        <w:r>
          <w:rPr>
            <w:noProof/>
            <w:webHidden/>
          </w:rPr>
          <w:tab/>
        </w:r>
        <w:r>
          <w:rPr>
            <w:noProof/>
            <w:webHidden/>
          </w:rPr>
          <w:fldChar w:fldCharType="begin"/>
        </w:r>
        <w:r>
          <w:rPr>
            <w:noProof/>
            <w:webHidden/>
          </w:rPr>
          <w:instrText xml:space="preserve"> PAGEREF _Toc221441350 \h </w:instrText>
        </w:r>
        <w:r>
          <w:rPr>
            <w:noProof/>
            <w:webHidden/>
          </w:rPr>
        </w:r>
        <w:r>
          <w:rPr>
            <w:noProof/>
            <w:webHidden/>
          </w:rPr>
          <w:fldChar w:fldCharType="separate"/>
        </w:r>
        <w:r w:rsidR="00B93EA8">
          <w:rPr>
            <w:noProof/>
            <w:webHidden/>
          </w:rPr>
          <w:t>35</w:t>
        </w:r>
        <w:r>
          <w:rPr>
            <w:noProof/>
            <w:webHidden/>
          </w:rPr>
          <w:fldChar w:fldCharType="end"/>
        </w:r>
      </w:hyperlink>
    </w:p>
    <w:p w14:paraId="1D917EEF" w14:textId="102E4EB9"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1" w:history="1">
        <w:r w:rsidRPr="00394F16">
          <w:rPr>
            <w:rStyle w:val="Lienhypertexte"/>
            <w:noProof/>
          </w:rPr>
          <w:t>Figure 12: Distribution de la fréquence d'évaluation de l'équilibre (en nombre de répondants)</w:t>
        </w:r>
        <w:r>
          <w:rPr>
            <w:noProof/>
            <w:webHidden/>
          </w:rPr>
          <w:tab/>
        </w:r>
        <w:r>
          <w:rPr>
            <w:noProof/>
            <w:webHidden/>
          </w:rPr>
          <w:fldChar w:fldCharType="begin"/>
        </w:r>
        <w:r>
          <w:rPr>
            <w:noProof/>
            <w:webHidden/>
          </w:rPr>
          <w:instrText xml:space="preserve"> PAGEREF _Toc221441351 \h </w:instrText>
        </w:r>
        <w:r>
          <w:rPr>
            <w:noProof/>
            <w:webHidden/>
          </w:rPr>
        </w:r>
        <w:r>
          <w:rPr>
            <w:noProof/>
            <w:webHidden/>
          </w:rPr>
          <w:fldChar w:fldCharType="separate"/>
        </w:r>
        <w:r w:rsidR="00B93EA8">
          <w:rPr>
            <w:noProof/>
            <w:webHidden/>
          </w:rPr>
          <w:t>36</w:t>
        </w:r>
        <w:r>
          <w:rPr>
            <w:noProof/>
            <w:webHidden/>
          </w:rPr>
          <w:fldChar w:fldCharType="end"/>
        </w:r>
      </w:hyperlink>
    </w:p>
    <w:p w14:paraId="71BF51B7" w14:textId="1164A781"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2" w:history="1">
        <w:r w:rsidRPr="00394F16">
          <w:rPr>
            <w:rStyle w:val="Lienhypertexte"/>
            <w:noProof/>
          </w:rPr>
          <w:t>Figure 13: Distribution du temps d'évaluation de l'équilibre (en nombre de répondants)</w:t>
        </w:r>
        <w:r>
          <w:rPr>
            <w:noProof/>
            <w:webHidden/>
          </w:rPr>
          <w:tab/>
        </w:r>
        <w:r>
          <w:rPr>
            <w:noProof/>
            <w:webHidden/>
          </w:rPr>
          <w:fldChar w:fldCharType="begin"/>
        </w:r>
        <w:r>
          <w:rPr>
            <w:noProof/>
            <w:webHidden/>
          </w:rPr>
          <w:instrText xml:space="preserve"> PAGEREF _Toc221441352 \h </w:instrText>
        </w:r>
        <w:r>
          <w:rPr>
            <w:noProof/>
            <w:webHidden/>
          </w:rPr>
        </w:r>
        <w:r>
          <w:rPr>
            <w:noProof/>
            <w:webHidden/>
          </w:rPr>
          <w:fldChar w:fldCharType="separate"/>
        </w:r>
        <w:r w:rsidR="00B93EA8">
          <w:rPr>
            <w:noProof/>
            <w:webHidden/>
          </w:rPr>
          <w:t>36</w:t>
        </w:r>
        <w:r>
          <w:rPr>
            <w:noProof/>
            <w:webHidden/>
          </w:rPr>
          <w:fldChar w:fldCharType="end"/>
        </w:r>
      </w:hyperlink>
    </w:p>
    <w:p w14:paraId="53AED0D7" w14:textId="48DCCFA7"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3" w:history="1">
        <w:r w:rsidRPr="00394F16">
          <w:rPr>
            <w:rStyle w:val="Lienhypertexte"/>
            <w:noProof/>
          </w:rPr>
          <w:t>Figure 14: Répartition du test le plus utilisé (en nombre de professionnels)</w:t>
        </w:r>
        <w:r>
          <w:rPr>
            <w:noProof/>
            <w:webHidden/>
          </w:rPr>
          <w:tab/>
        </w:r>
        <w:r>
          <w:rPr>
            <w:noProof/>
            <w:webHidden/>
          </w:rPr>
          <w:fldChar w:fldCharType="begin"/>
        </w:r>
        <w:r>
          <w:rPr>
            <w:noProof/>
            <w:webHidden/>
          </w:rPr>
          <w:instrText xml:space="preserve"> PAGEREF _Toc221441353 \h </w:instrText>
        </w:r>
        <w:r>
          <w:rPr>
            <w:noProof/>
            <w:webHidden/>
          </w:rPr>
        </w:r>
        <w:r>
          <w:rPr>
            <w:noProof/>
            <w:webHidden/>
          </w:rPr>
          <w:fldChar w:fldCharType="separate"/>
        </w:r>
        <w:r w:rsidR="00B93EA8">
          <w:rPr>
            <w:noProof/>
            <w:webHidden/>
          </w:rPr>
          <w:t>37</w:t>
        </w:r>
        <w:r>
          <w:rPr>
            <w:noProof/>
            <w:webHidden/>
          </w:rPr>
          <w:fldChar w:fldCharType="end"/>
        </w:r>
      </w:hyperlink>
    </w:p>
    <w:p w14:paraId="748EAF94" w14:textId="4550D17F"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4" w:history="1">
        <w:r w:rsidRPr="00394F16">
          <w:rPr>
            <w:rStyle w:val="Lienhypertexte"/>
            <w:noProof/>
          </w:rPr>
          <w:t>Figure 15: Les raisons du choix des différents tests (en nombre de participants)</w:t>
        </w:r>
        <w:r>
          <w:rPr>
            <w:noProof/>
            <w:webHidden/>
          </w:rPr>
          <w:tab/>
        </w:r>
        <w:r>
          <w:rPr>
            <w:noProof/>
            <w:webHidden/>
          </w:rPr>
          <w:fldChar w:fldCharType="begin"/>
        </w:r>
        <w:r>
          <w:rPr>
            <w:noProof/>
            <w:webHidden/>
          </w:rPr>
          <w:instrText xml:space="preserve"> PAGEREF _Toc221441354 \h </w:instrText>
        </w:r>
        <w:r>
          <w:rPr>
            <w:noProof/>
            <w:webHidden/>
          </w:rPr>
        </w:r>
        <w:r>
          <w:rPr>
            <w:noProof/>
            <w:webHidden/>
          </w:rPr>
          <w:fldChar w:fldCharType="separate"/>
        </w:r>
        <w:r w:rsidR="00B93EA8">
          <w:rPr>
            <w:noProof/>
            <w:webHidden/>
          </w:rPr>
          <w:t>38</w:t>
        </w:r>
        <w:r>
          <w:rPr>
            <w:noProof/>
            <w:webHidden/>
          </w:rPr>
          <w:fldChar w:fldCharType="end"/>
        </w:r>
      </w:hyperlink>
    </w:p>
    <w:p w14:paraId="20F2BB0D" w14:textId="394F8313"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5" w:history="1">
        <w:r w:rsidRPr="00394F16">
          <w:rPr>
            <w:rStyle w:val="Lienhypertexte"/>
            <w:noProof/>
          </w:rPr>
          <w:t>Figure 16: Connaissance du modèle de Horak par les participants (pourcentage de répondants)</w:t>
        </w:r>
        <w:r>
          <w:rPr>
            <w:noProof/>
            <w:webHidden/>
          </w:rPr>
          <w:tab/>
        </w:r>
        <w:r>
          <w:rPr>
            <w:noProof/>
            <w:webHidden/>
          </w:rPr>
          <w:fldChar w:fldCharType="begin"/>
        </w:r>
        <w:r>
          <w:rPr>
            <w:noProof/>
            <w:webHidden/>
          </w:rPr>
          <w:instrText xml:space="preserve"> PAGEREF _Toc221441355 \h </w:instrText>
        </w:r>
        <w:r>
          <w:rPr>
            <w:noProof/>
            <w:webHidden/>
          </w:rPr>
        </w:r>
        <w:r>
          <w:rPr>
            <w:noProof/>
            <w:webHidden/>
          </w:rPr>
          <w:fldChar w:fldCharType="separate"/>
        </w:r>
        <w:r w:rsidR="00B93EA8">
          <w:rPr>
            <w:noProof/>
            <w:webHidden/>
          </w:rPr>
          <w:t>39</w:t>
        </w:r>
        <w:r>
          <w:rPr>
            <w:noProof/>
            <w:webHidden/>
          </w:rPr>
          <w:fldChar w:fldCharType="end"/>
        </w:r>
      </w:hyperlink>
    </w:p>
    <w:p w14:paraId="1AFEA5FC" w14:textId="35AA0178"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6" w:history="1">
        <w:r w:rsidRPr="00394F16">
          <w:rPr>
            <w:rStyle w:val="Lienhypertexte"/>
            <w:noProof/>
          </w:rPr>
          <w:t>Figure 17: Fréquence d'évaluation simultanée des 9 sous-composantes de l'équilibre (pourcentage de répondants)</w:t>
        </w:r>
        <w:r>
          <w:rPr>
            <w:noProof/>
            <w:webHidden/>
          </w:rPr>
          <w:tab/>
        </w:r>
        <w:r>
          <w:rPr>
            <w:noProof/>
            <w:webHidden/>
          </w:rPr>
          <w:fldChar w:fldCharType="begin"/>
        </w:r>
        <w:r>
          <w:rPr>
            <w:noProof/>
            <w:webHidden/>
          </w:rPr>
          <w:instrText xml:space="preserve"> PAGEREF _Toc221441356 \h </w:instrText>
        </w:r>
        <w:r>
          <w:rPr>
            <w:noProof/>
            <w:webHidden/>
          </w:rPr>
        </w:r>
        <w:r>
          <w:rPr>
            <w:noProof/>
            <w:webHidden/>
          </w:rPr>
          <w:fldChar w:fldCharType="separate"/>
        </w:r>
        <w:r w:rsidR="00B93EA8">
          <w:rPr>
            <w:noProof/>
            <w:webHidden/>
          </w:rPr>
          <w:t>39</w:t>
        </w:r>
        <w:r>
          <w:rPr>
            <w:noProof/>
            <w:webHidden/>
          </w:rPr>
          <w:fldChar w:fldCharType="end"/>
        </w:r>
      </w:hyperlink>
    </w:p>
    <w:p w14:paraId="36327A3B" w14:textId="6E23929D"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7" w:history="1">
        <w:r w:rsidRPr="00394F16">
          <w:rPr>
            <w:rStyle w:val="Lienhypertexte"/>
            <w:noProof/>
          </w:rPr>
          <w:t>Figure 18: Les facteurs limitant l'élaboration d'une évaluation complète (pourcentage de répondants)</w:t>
        </w:r>
        <w:r>
          <w:rPr>
            <w:noProof/>
            <w:webHidden/>
          </w:rPr>
          <w:tab/>
        </w:r>
        <w:r>
          <w:rPr>
            <w:noProof/>
            <w:webHidden/>
          </w:rPr>
          <w:fldChar w:fldCharType="begin"/>
        </w:r>
        <w:r>
          <w:rPr>
            <w:noProof/>
            <w:webHidden/>
          </w:rPr>
          <w:instrText xml:space="preserve"> PAGEREF _Toc221441357 \h </w:instrText>
        </w:r>
        <w:r>
          <w:rPr>
            <w:noProof/>
            <w:webHidden/>
          </w:rPr>
        </w:r>
        <w:r>
          <w:rPr>
            <w:noProof/>
            <w:webHidden/>
          </w:rPr>
          <w:fldChar w:fldCharType="separate"/>
        </w:r>
        <w:r w:rsidR="00B93EA8">
          <w:rPr>
            <w:noProof/>
            <w:webHidden/>
          </w:rPr>
          <w:t>40</w:t>
        </w:r>
        <w:r>
          <w:rPr>
            <w:noProof/>
            <w:webHidden/>
          </w:rPr>
          <w:fldChar w:fldCharType="end"/>
        </w:r>
      </w:hyperlink>
    </w:p>
    <w:p w14:paraId="4988006D" w14:textId="0B7081B1"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8" w:history="1">
        <w:r w:rsidRPr="00394F16">
          <w:rPr>
            <w:rStyle w:val="Lienhypertexte"/>
            <w:noProof/>
          </w:rPr>
          <w:t>Figure 19: Intérêt par thématiques</w:t>
        </w:r>
        <w:r>
          <w:rPr>
            <w:noProof/>
            <w:webHidden/>
          </w:rPr>
          <w:tab/>
        </w:r>
        <w:r>
          <w:rPr>
            <w:noProof/>
            <w:webHidden/>
          </w:rPr>
          <w:fldChar w:fldCharType="begin"/>
        </w:r>
        <w:r>
          <w:rPr>
            <w:noProof/>
            <w:webHidden/>
          </w:rPr>
          <w:instrText xml:space="preserve"> PAGEREF _Toc221441358 \h </w:instrText>
        </w:r>
        <w:r>
          <w:rPr>
            <w:noProof/>
            <w:webHidden/>
          </w:rPr>
        </w:r>
        <w:r>
          <w:rPr>
            <w:noProof/>
            <w:webHidden/>
          </w:rPr>
          <w:fldChar w:fldCharType="separate"/>
        </w:r>
        <w:r w:rsidR="00B93EA8">
          <w:rPr>
            <w:noProof/>
            <w:webHidden/>
          </w:rPr>
          <w:t>42</w:t>
        </w:r>
        <w:r>
          <w:rPr>
            <w:noProof/>
            <w:webHidden/>
          </w:rPr>
          <w:fldChar w:fldCharType="end"/>
        </w:r>
      </w:hyperlink>
    </w:p>
    <w:p w14:paraId="01852B05" w14:textId="12EE936D" w:rsidR="008713FA" w:rsidRDefault="008713FA">
      <w:pPr>
        <w:pStyle w:val="Tabledesillustrations"/>
        <w:tabs>
          <w:tab w:val="right" w:leader="dot" w:pos="9060"/>
        </w:tabs>
        <w:rPr>
          <w:rFonts w:eastAsiaTheme="minorEastAsia"/>
          <w:noProof/>
          <w:kern w:val="2"/>
          <w:sz w:val="24"/>
          <w:szCs w:val="24"/>
          <w:lang w:eastAsia="fr-FR"/>
          <w14:ligatures w14:val="standardContextual"/>
        </w:rPr>
      </w:pPr>
      <w:hyperlink w:anchor="_Toc221441359" w:history="1">
        <w:r w:rsidRPr="00394F16">
          <w:rPr>
            <w:rStyle w:val="Lienhypertexte"/>
            <w:noProof/>
          </w:rPr>
          <w:t>Figure 20: Analyse croisée entre le temps d'évaluation et les tests utilisés</w:t>
        </w:r>
        <w:r>
          <w:rPr>
            <w:noProof/>
            <w:webHidden/>
          </w:rPr>
          <w:tab/>
        </w:r>
        <w:r>
          <w:rPr>
            <w:noProof/>
            <w:webHidden/>
          </w:rPr>
          <w:fldChar w:fldCharType="begin"/>
        </w:r>
        <w:r>
          <w:rPr>
            <w:noProof/>
            <w:webHidden/>
          </w:rPr>
          <w:instrText xml:space="preserve"> PAGEREF _Toc221441359 \h </w:instrText>
        </w:r>
        <w:r>
          <w:rPr>
            <w:noProof/>
            <w:webHidden/>
          </w:rPr>
        </w:r>
        <w:r>
          <w:rPr>
            <w:noProof/>
            <w:webHidden/>
          </w:rPr>
          <w:fldChar w:fldCharType="separate"/>
        </w:r>
        <w:r w:rsidR="00B93EA8">
          <w:rPr>
            <w:noProof/>
            <w:webHidden/>
          </w:rPr>
          <w:t>45</w:t>
        </w:r>
        <w:r>
          <w:rPr>
            <w:noProof/>
            <w:webHidden/>
          </w:rPr>
          <w:fldChar w:fldCharType="end"/>
        </w:r>
      </w:hyperlink>
    </w:p>
    <w:p w14:paraId="4724F52C" w14:textId="6CD014FD" w:rsidR="008713FA" w:rsidRPr="008713FA" w:rsidRDefault="008713FA" w:rsidP="008713FA">
      <w:pPr>
        <w:jc w:val="center"/>
        <w:rPr>
          <w:b/>
          <w:bCs/>
          <w:sz w:val="28"/>
          <w:szCs w:val="28"/>
        </w:rPr>
        <w:sectPr w:rsidR="008713FA" w:rsidRPr="008713FA" w:rsidSect="006B142C">
          <w:headerReference w:type="default" r:id="rId11"/>
          <w:footerReference w:type="even" r:id="rId12"/>
          <w:footerReference w:type="default" r:id="rId13"/>
          <w:pgSz w:w="11906" w:h="16838"/>
          <w:pgMar w:top="1418" w:right="1418" w:bottom="1418" w:left="1418" w:header="709" w:footer="709" w:gutter="0"/>
          <w:cols w:space="708"/>
          <w:docGrid w:linePitch="360"/>
        </w:sectPr>
      </w:pPr>
      <w:r>
        <w:rPr>
          <w:b/>
          <w:bCs/>
          <w:sz w:val="28"/>
          <w:szCs w:val="28"/>
        </w:rPr>
        <w:fldChar w:fldCharType="end"/>
      </w:r>
    </w:p>
    <w:p w14:paraId="35D9EC58" w14:textId="7937DF6D" w:rsidR="00F0491E" w:rsidRDefault="00F0491E" w:rsidP="00F0491E">
      <w:pPr>
        <w:pStyle w:val="Titre1"/>
        <w:numPr>
          <w:ilvl w:val="0"/>
          <w:numId w:val="0"/>
        </w:numPr>
        <w:spacing w:line="360" w:lineRule="auto"/>
        <w:jc w:val="center"/>
      </w:pPr>
      <w:bookmarkStart w:id="1" w:name="_Toc221704603"/>
      <w:r>
        <w:lastRenderedPageBreak/>
        <w:t>Déclaration d’utilisation raisonnée de l’IA</w:t>
      </w:r>
      <w:bookmarkEnd w:id="1"/>
      <w:r>
        <w:t xml:space="preserve"> </w:t>
      </w:r>
    </w:p>
    <w:p w14:paraId="1CA4E5A4" w14:textId="77777777" w:rsidR="00F0491E" w:rsidRDefault="00F0491E" w:rsidP="00F0491E"/>
    <w:p w14:paraId="150B8A01" w14:textId="50669B8D" w:rsidR="00F0491E" w:rsidRPr="00F0491E" w:rsidRDefault="00F0491E" w:rsidP="00F0491E">
      <w:pPr>
        <w:spacing w:line="360" w:lineRule="auto"/>
        <w:jc w:val="both"/>
      </w:pPr>
      <w:r>
        <w:t xml:space="preserve">Dans le cadre de ce travail l’auteur déclare avoir employé l’outil </w:t>
      </w:r>
      <w:r>
        <w:rPr>
          <w:b/>
          <w:bCs/>
          <w:i/>
          <w:iCs/>
        </w:rPr>
        <w:t>Chat GPT 5.0 (Open AI) et</w:t>
      </w:r>
      <w:r>
        <w:t xml:space="preserve"> </w:t>
      </w:r>
      <w:r w:rsidR="00B93EA8">
        <w:rPr>
          <w:b/>
          <w:bCs/>
          <w:i/>
          <w:iCs/>
        </w:rPr>
        <w:t>Gemini</w:t>
      </w:r>
      <w:r>
        <w:rPr>
          <w:b/>
          <w:bCs/>
          <w:i/>
          <w:iCs/>
        </w:rPr>
        <w:t xml:space="preserve"> </w:t>
      </w:r>
      <w:r>
        <w:t xml:space="preserve">à des fins de </w:t>
      </w:r>
      <w:r w:rsidRPr="00F0491E">
        <w:rPr>
          <w:b/>
          <w:bCs/>
          <w:i/>
          <w:iCs/>
        </w:rPr>
        <w:t>vérifications orthographique</w:t>
      </w:r>
      <w:r>
        <w:rPr>
          <w:b/>
          <w:bCs/>
          <w:i/>
          <w:iCs/>
        </w:rPr>
        <w:t>s</w:t>
      </w:r>
      <w:r w:rsidRPr="00F0491E">
        <w:rPr>
          <w:b/>
          <w:bCs/>
          <w:i/>
          <w:iCs/>
        </w:rPr>
        <w:t xml:space="preserve"> et de reformulations grammaticales</w:t>
      </w:r>
      <w:r>
        <w:t xml:space="preserve">. Après avoir utilisé ces outils, les auteurs ont revu et corrigé le contenu si nécessaire et assument l’entière responsabilité du contenu de la publication. </w:t>
      </w:r>
    </w:p>
    <w:p w14:paraId="5766E34F" w14:textId="77777777" w:rsidR="00F0491E" w:rsidRDefault="00F0491E" w:rsidP="007A614A">
      <w:pPr>
        <w:pStyle w:val="Titre1"/>
        <w:numPr>
          <w:ilvl w:val="0"/>
          <w:numId w:val="0"/>
        </w:numPr>
        <w:spacing w:line="360" w:lineRule="auto"/>
        <w:jc w:val="center"/>
      </w:pPr>
    </w:p>
    <w:p w14:paraId="0EDDD337" w14:textId="77777777" w:rsidR="00F0491E" w:rsidRDefault="00F0491E" w:rsidP="007A614A">
      <w:pPr>
        <w:pStyle w:val="Titre1"/>
        <w:numPr>
          <w:ilvl w:val="0"/>
          <w:numId w:val="0"/>
        </w:numPr>
        <w:spacing w:line="360" w:lineRule="auto"/>
        <w:jc w:val="center"/>
      </w:pPr>
    </w:p>
    <w:p w14:paraId="6B46741D" w14:textId="77777777" w:rsidR="00F0491E" w:rsidRDefault="00F0491E" w:rsidP="007A614A">
      <w:pPr>
        <w:pStyle w:val="Titre1"/>
        <w:numPr>
          <w:ilvl w:val="0"/>
          <w:numId w:val="0"/>
        </w:numPr>
        <w:spacing w:line="360" w:lineRule="auto"/>
        <w:jc w:val="center"/>
      </w:pPr>
    </w:p>
    <w:p w14:paraId="4B30CACA" w14:textId="77777777" w:rsidR="00F0491E" w:rsidRDefault="00F0491E" w:rsidP="007A614A">
      <w:pPr>
        <w:pStyle w:val="Titre1"/>
        <w:numPr>
          <w:ilvl w:val="0"/>
          <w:numId w:val="0"/>
        </w:numPr>
        <w:spacing w:line="360" w:lineRule="auto"/>
        <w:jc w:val="center"/>
      </w:pPr>
    </w:p>
    <w:p w14:paraId="2545D3D2" w14:textId="77777777" w:rsidR="00F0491E" w:rsidRDefault="00F0491E" w:rsidP="007A614A">
      <w:pPr>
        <w:pStyle w:val="Titre1"/>
        <w:numPr>
          <w:ilvl w:val="0"/>
          <w:numId w:val="0"/>
        </w:numPr>
        <w:spacing w:line="360" w:lineRule="auto"/>
        <w:jc w:val="center"/>
      </w:pPr>
    </w:p>
    <w:p w14:paraId="4850C26F" w14:textId="77777777" w:rsidR="00F0491E" w:rsidRDefault="00F0491E" w:rsidP="007A614A">
      <w:pPr>
        <w:pStyle w:val="Titre1"/>
        <w:numPr>
          <w:ilvl w:val="0"/>
          <w:numId w:val="0"/>
        </w:numPr>
        <w:spacing w:line="360" w:lineRule="auto"/>
        <w:jc w:val="center"/>
      </w:pPr>
    </w:p>
    <w:p w14:paraId="7804C6C0" w14:textId="77777777" w:rsidR="00F0491E" w:rsidRDefault="00F0491E" w:rsidP="007A614A">
      <w:pPr>
        <w:pStyle w:val="Titre1"/>
        <w:numPr>
          <w:ilvl w:val="0"/>
          <w:numId w:val="0"/>
        </w:numPr>
        <w:spacing w:line="360" w:lineRule="auto"/>
        <w:jc w:val="center"/>
      </w:pPr>
    </w:p>
    <w:p w14:paraId="28CE6649" w14:textId="77777777" w:rsidR="00F0491E" w:rsidRDefault="00F0491E" w:rsidP="007A614A">
      <w:pPr>
        <w:pStyle w:val="Titre1"/>
        <w:numPr>
          <w:ilvl w:val="0"/>
          <w:numId w:val="0"/>
        </w:numPr>
        <w:spacing w:line="360" w:lineRule="auto"/>
        <w:jc w:val="center"/>
      </w:pPr>
    </w:p>
    <w:p w14:paraId="7DBE4E1F" w14:textId="77777777" w:rsidR="00F0491E" w:rsidRDefault="00F0491E" w:rsidP="007A614A">
      <w:pPr>
        <w:pStyle w:val="Titre1"/>
        <w:numPr>
          <w:ilvl w:val="0"/>
          <w:numId w:val="0"/>
        </w:numPr>
        <w:spacing w:line="360" w:lineRule="auto"/>
        <w:jc w:val="center"/>
      </w:pPr>
    </w:p>
    <w:p w14:paraId="77CDDB04" w14:textId="77777777" w:rsidR="00F0491E" w:rsidRDefault="00F0491E" w:rsidP="007A614A">
      <w:pPr>
        <w:pStyle w:val="Titre1"/>
        <w:numPr>
          <w:ilvl w:val="0"/>
          <w:numId w:val="0"/>
        </w:numPr>
        <w:spacing w:line="360" w:lineRule="auto"/>
        <w:jc w:val="center"/>
      </w:pPr>
    </w:p>
    <w:p w14:paraId="631132BB" w14:textId="77777777" w:rsidR="00F0491E" w:rsidRDefault="00F0491E" w:rsidP="007A614A">
      <w:pPr>
        <w:pStyle w:val="Titre1"/>
        <w:numPr>
          <w:ilvl w:val="0"/>
          <w:numId w:val="0"/>
        </w:numPr>
        <w:spacing w:line="360" w:lineRule="auto"/>
        <w:jc w:val="center"/>
      </w:pPr>
    </w:p>
    <w:p w14:paraId="52682406" w14:textId="77777777" w:rsidR="00F0491E" w:rsidRDefault="00F0491E" w:rsidP="007A614A">
      <w:pPr>
        <w:pStyle w:val="Titre1"/>
        <w:numPr>
          <w:ilvl w:val="0"/>
          <w:numId w:val="0"/>
        </w:numPr>
        <w:spacing w:line="360" w:lineRule="auto"/>
        <w:jc w:val="center"/>
      </w:pPr>
    </w:p>
    <w:p w14:paraId="6CDEAA3C" w14:textId="77777777" w:rsidR="00F0491E" w:rsidRDefault="00F0491E" w:rsidP="007A614A">
      <w:pPr>
        <w:pStyle w:val="Titre1"/>
        <w:numPr>
          <w:ilvl w:val="0"/>
          <w:numId w:val="0"/>
        </w:numPr>
        <w:spacing w:line="360" w:lineRule="auto"/>
        <w:jc w:val="center"/>
      </w:pPr>
    </w:p>
    <w:p w14:paraId="680597B9" w14:textId="77777777" w:rsidR="00F0491E" w:rsidRDefault="00F0491E" w:rsidP="007A614A">
      <w:pPr>
        <w:pStyle w:val="Titre1"/>
        <w:numPr>
          <w:ilvl w:val="0"/>
          <w:numId w:val="0"/>
        </w:numPr>
        <w:spacing w:line="360" w:lineRule="auto"/>
        <w:jc w:val="center"/>
      </w:pPr>
    </w:p>
    <w:p w14:paraId="2B924E14" w14:textId="77777777" w:rsidR="00F0491E" w:rsidRDefault="00F0491E" w:rsidP="007A614A">
      <w:pPr>
        <w:pStyle w:val="Titre1"/>
        <w:numPr>
          <w:ilvl w:val="0"/>
          <w:numId w:val="0"/>
        </w:numPr>
        <w:spacing w:line="360" w:lineRule="auto"/>
        <w:jc w:val="center"/>
      </w:pPr>
    </w:p>
    <w:p w14:paraId="27B39795" w14:textId="77777777" w:rsidR="00F0491E" w:rsidRDefault="00F0491E" w:rsidP="00F0491E"/>
    <w:p w14:paraId="1702135C" w14:textId="77777777" w:rsidR="00F0491E" w:rsidRDefault="00F0491E" w:rsidP="00F0491E"/>
    <w:p w14:paraId="796AB392" w14:textId="77777777" w:rsidR="008713FA" w:rsidRDefault="008713FA" w:rsidP="00F0491E"/>
    <w:p w14:paraId="3AD3DE0C" w14:textId="77777777" w:rsidR="00F0491E" w:rsidRDefault="00F0491E" w:rsidP="00F0491E"/>
    <w:p w14:paraId="5A4706D1" w14:textId="77777777" w:rsidR="00F0491E" w:rsidRPr="00F0491E" w:rsidRDefault="00F0491E" w:rsidP="00F0491E"/>
    <w:p w14:paraId="438A68E9" w14:textId="53C79B01" w:rsidR="004C6B60" w:rsidRDefault="007A614A" w:rsidP="007A614A">
      <w:pPr>
        <w:pStyle w:val="Titre1"/>
        <w:numPr>
          <w:ilvl w:val="0"/>
          <w:numId w:val="0"/>
        </w:numPr>
        <w:spacing w:line="360" w:lineRule="auto"/>
        <w:jc w:val="center"/>
      </w:pPr>
      <w:bookmarkStart w:id="2" w:name="_Toc221704604"/>
      <w:r>
        <w:lastRenderedPageBreak/>
        <w:t>Préambule</w:t>
      </w:r>
      <w:bookmarkEnd w:id="2"/>
    </w:p>
    <w:p w14:paraId="4D8F7249" w14:textId="1E6C6C79" w:rsidR="00401885" w:rsidRDefault="00375188" w:rsidP="001C18E0">
      <w:pPr>
        <w:spacing w:line="360" w:lineRule="auto"/>
        <w:ind w:firstLine="708"/>
        <w:jc w:val="both"/>
      </w:pPr>
      <w:r>
        <w:t>En France comme à l’international, le vieillissement de la population représente un enjeu de santé publique majeur</w:t>
      </w:r>
      <w:r w:rsidR="005335FB">
        <w:t xml:space="preserve"> </w:t>
      </w:r>
      <w:r w:rsidR="005335FB">
        <w:fldChar w:fldCharType="begin"/>
      </w:r>
      <w:r w:rsidR="005335FB">
        <w:instrText xml:space="preserve"> ADDIN ZOTERO_ITEM CSL_CITATION {"citationID":"sVLIcon4","properties":{"formattedCitation":"(Coste et al., 2022)","plainCitation":"(Coste et al., 2022)","noteIndex":0},"citationItems":[{"id":227,"uris":["http://zotero.org/users/10583480/items/D6QSMM9P"],"itemData":{"id":227,"type":"article-journal","abstract":"Background\nRobust public health and health system response to the increasing burden of multimorbidity worldwide requires detailed epidemiological examination of its key sociodemographic and geographic determinants. We investigated the role of gender, age and socioeconomic and geographic factors on multimorbidity (i.e., having two or more conditions) in the adult population in France and examined implications for surveillance and prevention.\n\nMethods\nWe used data from two large nationwide representative surveys with cross-sectional and longitudinal health and socio-demographic indicators, conducted in France between 2008 and 2014. Morbidity counts and frequent dyads/triads of conditions independently impacting mortality, activity limitations, and perceived health were investigated with regard to differences in gender, age, socioeconomic (education, occupation and income) and geography (size of the urban unit and region).\n\nResults\nThe component conditions of multimorbidity varied with gender and age. Women experienced multimorbidity 23–31% more frequently and at a younger age (5–15 years earlier) than men. Multimorbidity increased with age while its associations with most health indicators weakened with it. Multimorbidity was strongly and independently associated with socioeconomic indicators, with a strong inverse dose-response relationship with education, but less consistently with geographic factors.\n\nConclusions\nMultimorbidity has diverse and variable components and impacts across gender and age. It is strongly associated with socioeconomic factors, notably educational level, for which causality appears likely. Consideration of this diversity and variability, its common occurrence in dyads and triads, and its impact on health outcomes according to age and gender may contribute to efficient surveillance and support the identification of prevention strategies targeting middle-aged men and women.","container-title":"PLoS ONE","DOI":"10.1371/journal.pone.0265842","ISSN":"1932-6203","issue":"4","journalAbbreviation":"PLoS One","note":"PMID: 35385501\nPMCID: PMC8986023","page":"e0265842","source":"PubMed Central","title":"The epidemiology of multimorbidity in France: Variations by gender, age and socioeconomic factors, and implications for surveillance and prevention","title-short":"The epidemiology of multimorbidity in France","volume":"17","author":[{"family":"Coste","given":"Joël"},{"family":"Valderas","given":"José M."},{"family":"Carcaillon-Bentata","given":"Laure"}],"issued":{"date-parts":[["2022",4,6]]}}}],"schema":"https://github.com/citation-style-language/schema/raw/master/csl-citation.json"} </w:instrText>
      </w:r>
      <w:r w:rsidR="005335FB">
        <w:fldChar w:fldCharType="separate"/>
      </w:r>
      <w:r w:rsidR="005335FB">
        <w:rPr>
          <w:noProof/>
        </w:rPr>
        <w:t>(Coste et al., 2022)</w:t>
      </w:r>
      <w:r w:rsidR="005335FB">
        <w:fldChar w:fldCharType="end"/>
      </w:r>
      <w:r>
        <w:t xml:space="preserve">. Selon les chiffres de Santé Publique France, les personnes âgées (PA) de 60 ans ou plus représentent, aujourd’hui, 1/4 de la population mondiale. </w:t>
      </w:r>
      <w:r w:rsidR="005335FB">
        <w:t>Selon l’Institut Nationale des Études Démographiques (INED), e</w:t>
      </w:r>
      <w:r>
        <w:t>n 2050, les projections indiquent qu’</w:t>
      </w:r>
      <w:r w:rsidR="004F5B75">
        <w:t>elles</w:t>
      </w:r>
      <w:r>
        <w:t xml:space="preserve"> formeront 1/3 de la population mondiale</w:t>
      </w:r>
      <w:r w:rsidR="004F5B75">
        <w:t xml:space="preserve"> traduisant ainsi</w:t>
      </w:r>
      <w:r>
        <w:t xml:space="preserve"> une croissance significative qui devrait engendrer de nouvelles problématiques concernant la </w:t>
      </w:r>
      <w:r w:rsidR="004F5B75">
        <w:t xml:space="preserve">prise en soin </w:t>
      </w:r>
      <w:r>
        <w:t>des personnes âgées</w:t>
      </w:r>
      <w:r w:rsidR="004F5B75">
        <w:fldChar w:fldCharType="begin"/>
      </w:r>
      <w:r w:rsidR="004F5B75">
        <w:instrText xml:space="preserve"> ADDIN ZOTERO_ITEM CSL_CITATION {"citationID":"fZ0n6ngh","properties":{"formattedCitation":"(Bonnet et al., 2021)","plainCitation":"(Bonnet et al., 2021)","noteIndex":0},"citationItems":[{"id":233,"uris":["http://zotero.org/users/10583480/items/VAQ7CAWD"],"itemData":{"id":233,"type":"article-journal","abstract":"En 2015, la loi d’adaptation de la société au vieillissement marquait en France la volonté politique d’anticiper de manière globale les conséquences du vieillissement démographique. Elle formalisait les constats des recherches et débats publics internationaux qui, depuis longtemps, en soulignent l’ampleur et les multiples implications. Cette chronique fait le point sur ces questions en s’appuyant sur l’expérience de 40 pays caractérisés par une longévité élevée. En 2020, les personnes de 65 ans et plus y sont quatre fois plus nombreuses qu’en 1950 ; au Japon, pays le plus « vieux », leur proportion a bondi de 5 % à 28 % et leur espérance de vie a presque doublé. Une première partie présente les définitions et les mesures du vieillissement démographique, puis la diversité des dynamiques de ces 40 pays. La seconde partie décrit les enjeux multidimensionnels et imbriqués du phénomène en termes sanitaires (quelle limite à la longévité ? quelle évolution de l’espérance de vie en bonne santé ?), sociodémographiques (comment se modifient les configurations conjugales, familiales ?) et économiques, via la problématique des modèles de protection sociale (retraite, aide à l’autonomie, transferts intergénérationnels).","container-title":"Population","DOI":"10.3917/popu.2102.0225","ISSN":"0032-4663","issue":"2","language":"fr","page":"225-325","source":"DOI.org (Crossref)","title":"Dynamiques, enjeux démographiques et socioéconomiques du vieillissement dans les pays à longévité élevée:","title-short":"Dynamiques, enjeux démographiques et socioéconomiques du vieillissement dans les pays à longévité élevée","volume":"Vol. 76","author":[{"family":"Bonnet","given":"Carole"},{"family":"Cambois","given":"Emmanuelle"},{"family":"Fontaine","given":"Roméo"}],"issued":{"date-parts":[["2021",11,2]]}}}],"schema":"https://github.com/citation-style-language/schema/raw/master/csl-citation.json"} </w:instrText>
      </w:r>
      <w:r w:rsidR="004F5B75">
        <w:fldChar w:fldCharType="separate"/>
      </w:r>
      <w:r w:rsidR="004F5B75">
        <w:rPr>
          <w:noProof/>
        </w:rPr>
        <w:t>(Bonnet et al., 2021)</w:t>
      </w:r>
      <w:r w:rsidR="004F5B75">
        <w:fldChar w:fldCharType="end"/>
      </w:r>
      <w:r w:rsidR="005335FB">
        <w:t xml:space="preserve">. La prévention des chutes en est une prédominante </w:t>
      </w:r>
      <w:r w:rsidR="005335FB">
        <w:fldChar w:fldCharType="begin"/>
      </w:r>
      <w:r w:rsidR="005335FB">
        <w:instrText xml:space="preserve"> ADDIN ZOTERO_ITEM CSL_CITATION {"citationID":"P5yGLALu","properties":{"formattedCitation":"({\\i{}Plan antichute des personnes \\uc0\\u226{}g\\uc0\\u233{}es}, 2022)","plainCitation":"(Plan antichute des personnes âgées, 2022)","noteIndex":0},"citationItems":[{"id":183,"uris":["http://zotero.org/users/10583480/items/UZIBYKBR"],"itemData":{"id":183,"type":"webpage","abstract":"En France, les chutes des personnes âgées entraînent chaque année plus de 100 000 hospitalisations et plus de 10 000 décès. Ces chutes ont des conséquences physiques, psychologiques, sociales et marquent une rupture dans la vie des individus et une perte d’autonomie.","language":"fr","title":"Plan antichute des personnes âgées","URL":"https://solidarites.gouv.fr/plan-antichute-des-personnes-agees","accessed":{"date-parts":[["2024",12,16]]},"issued":{"date-parts":[["2022",2,21]]}}}],"schema":"https://github.com/citation-style-language/schema/raw/master/csl-citation.json"} </w:instrText>
      </w:r>
      <w:r w:rsidR="005335FB">
        <w:fldChar w:fldCharType="separate"/>
      </w:r>
      <w:r w:rsidR="005335FB" w:rsidRPr="005335FB">
        <w:rPr>
          <w:rFonts w:ascii="Calibri" w:cs="Calibri"/>
        </w:rPr>
        <w:t>(</w:t>
      </w:r>
      <w:r w:rsidR="005335FB" w:rsidRPr="005335FB">
        <w:rPr>
          <w:rFonts w:ascii="Calibri" w:cs="Calibri"/>
          <w:i/>
          <w:iCs/>
        </w:rPr>
        <w:t>Plan antichute des personnes âgées</w:t>
      </w:r>
      <w:r w:rsidR="005335FB" w:rsidRPr="005335FB">
        <w:rPr>
          <w:rFonts w:ascii="Calibri" w:cs="Calibri"/>
        </w:rPr>
        <w:t>, 2022)</w:t>
      </w:r>
      <w:r w:rsidR="005335FB">
        <w:fldChar w:fldCharType="end"/>
      </w:r>
      <w:r w:rsidR="005335FB">
        <w:t>.</w:t>
      </w:r>
    </w:p>
    <w:p w14:paraId="11C63CD2" w14:textId="77777777" w:rsidR="00965B3C" w:rsidRDefault="00965B3C" w:rsidP="001C18E0">
      <w:pPr>
        <w:spacing w:line="360" w:lineRule="auto"/>
        <w:jc w:val="both"/>
      </w:pPr>
    </w:p>
    <w:p w14:paraId="1F62FE94" w14:textId="072000DA" w:rsidR="007C4789" w:rsidRDefault="00375188" w:rsidP="001C18E0">
      <w:pPr>
        <w:spacing w:line="360" w:lineRule="auto"/>
        <w:ind w:firstLine="708"/>
        <w:jc w:val="both"/>
      </w:pPr>
      <w:r>
        <w:t>Parmi les différents défis au</w:t>
      </w:r>
      <w:r w:rsidR="004F5B75">
        <w:t>x</w:t>
      </w:r>
      <w:r>
        <w:t>quel</w:t>
      </w:r>
      <w:r w:rsidR="004F5B75">
        <w:t>s</w:t>
      </w:r>
      <w:r>
        <w:t xml:space="preserve"> il faut faire face, réduire les chutes chez les personnes âgées apparait comme étant prédominant</w:t>
      </w:r>
      <w:r w:rsidR="00F54E85">
        <w:t xml:space="preserve"> </w:t>
      </w:r>
      <w:r w:rsidR="00F54E85">
        <w:fldChar w:fldCharType="begin"/>
      </w:r>
      <w:r w:rsidR="00E072F8">
        <w:instrText xml:space="preserve"> ADDIN ZOTERO_ITEM CSL_CITATION {"citationID":"LAVn1Xua","properties":{"formattedCitation":"(Blain et al., 2015)","plainCitation":"(Blain et al., 2015)","noteIndex":0},"citationItems":[{"id":299,"uris":["http://zotero.org/users/10583480/items/528IIS8M"],"itemData":{"id":299,"type":"article-journal","language":"fr","source":"Zotero","title":"Activité physique et prévention des chutes chez les personnes âgées","author":[{"family":"Blain","given":"Hubert"},{"family":"Bloch","given":"Frédéric"},{"family":"Borel","given":"Liliane"},{"family":"Dargent-Molina","given":"Patricia"},{"family":"Gauvain","given":"Jean Bernard"},{"family":"Hewson","given":"David"},{"family":"Orève","given":"Marie-Joëlle"},{"family":"Kemoun","given":"Gilles"},{"family":"Mourey","given":"France"},{"family":"Puisieux","given":"François"},{"family":"Rolland","given":"Yves"},{"family":"Stephan","given":"Yannick"}],"issued":{"date-parts":[["2015",1]]}}}],"schema":"https://github.com/citation-style-language/schema/raw/master/csl-citation.json"} </w:instrText>
      </w:r>
      <w:r w:rsidR="00F54E85">
        <w:fldChar w:fldCharType="separate"/>
      </w:r>
      <w:r w:rsidR="00E072F8">
        <w:rPr>
          <w:rFonts w:ascii="Calibri" w:cs="Calibri"/>
        </w:rPr>
        <w:t>(Blain et al., 2015)</w:t>
      </w:r>
      <w:r w:rsidR="00F54E85">
        <w:fldChar w:fldCharType="end"/>
      </w:r>
      <w:r>
        <w:t xml:space="preserve">. </w:t>
      </w:r>
      <w:r w:rsidR="005335FB">
        <w:t>L</w:t>
      </w:r>
      <w:r>
        <w:t xml:space="preserve">es chutes sont la deuxième cause de mortalité chez les personnes âgées dans le monde, succédant les accidents de la voie publique </w:t>
      </w:r>
      <w:r>
        <w:fldChar w:fldCharType="begin"/>
      </w:r>
      <w:r w:rsidR="00CF76AF">
        <w:instrText xml:space="preserve"> ADDIN ZOTERO_ITEM CSL_CITATION {"citationID":"lZsb8hvH","properties":{"formattedCitation":"(Xing et al., 2023a)","plainCitation":"(Xing et al., 2023a)","noteIndex":0},"citationItems":[{"id":113,"uris":["http://zotero.org/users/10583480/items/FA4CFYDV"],"itemData":{"id":113,"type":"article-journal","abstract":"Falls are the main contributor to both fatal and nonfatal injuries in elderly individuals as well as significant sources of morbidity and mortality, which are mostly induced by impaired balance control. The ability to keep balance is a remarkably complex process that allows for rapid and precise changes to prevent falls with multiple systems involved, such as musculoskeletal system, the central nervous system and sensory system. However, the exact pathogenesis of falls caused by balance disorders in the elderly has eluded researchers to date. In consideration of aging phenomenon aggravation and fall risks in the elderly, there is an urgent need to explore the pathogenesis and treatments of falls caused by balance disorders in the elderly. The present review discusses the epidemiology of falls in the elderly, potential pathogenic mechanisms underlying multiple systems involved in falls caused by balance disorders, including musculoskeletal system, the central nervous system and sensory system. Meanwhile, some common treatment strategies, such as physical exercise, new equipment based on artificial intelligence, pharmacologic treatments and fall prevention education are also reviewed. To fully understand the pathogenesis and treatment of falls caused by balance disorders, a need remains for future large-scale multi-center randomized controlled trials and in-depth mechanism studies.","container-title":"Frontiers in Neurology","DOI":"10.3389/fneur.2023.1128092","ISSN":"1664-2295","journalAbbreviation":"Front Neurol","note":"PMID: 36908603\nPMCID: PMC9996061","page":"1128092","source":"PubMed Central","title":"Falls caused by balance disorders in the elderly with multiple systems involved: Pathogenic mechanisms and treatment strategies","title-short":"Falls caused by balance disorders in the elderly with multiple systems involved","volume":"14","author":[{"family":"Xing","given":"Liwei"},{"family":"Bao","given":"Yi"},{"family":"Wang","given":"Binyang"},{"family":"Shi","given":"Mingqin"},{"family":"Wei","given":"Yuanyuan"},{"family":"Huang","given":"Xiaoyi"},{"family":"Dai","given":"Youwu"},{"family":"Shi","given":"Hongling"},{"family":"Gai","given":"Xuesong"},{"family":"Luo","given":"Qiu"},{"family":"Yin","given":"Yong"},{"family":"Qin","given":"Dongdong"}],"issued":{"date-parts":[["2023",2,23]]}},"label":"page"}],"schema":"https://github.com/citation-style-language/schema/raw/master/csl-citation.json"} </w:instrText>
      </w:r>
      <w:r>
        <w:fldChar w:fldCharType="separate"/>
      </w:r>
      <w:r w:rsidR="00CF76AF">
        <w:t>(Xing et al., 2023a)</w:t>
      </w:r>
      <w:r>
        <w:fldChar w:fldCharType="end"/>
      </w:r>
      <w:r>
        <w:t xml:space="preserve">. Chaque année, environ 30 à 60% des personnes âgées chutent dans le monde </w:t>
      </w:r>
      <w:r>
        <w:fldChar w:fldCharType="begin"/>
      </w:r>
      <w:r>
        <w:instrText xml:space="preserve"> ADDIN ZOTERO_ITEM CSL_CITATION {"citationID":"1bxkqWMI","properties":{"formattedCitation":"(Rubenstein, 2006)","plainCitation":"(Rubenstein, 2006)","noteIndex":0},"citationItems":[{"id":121,"uris":["http://zotero.org/users/10583480/items/NLCVPLC4"],"itemData":{"id":121,"type":"article-journal","abstract":"Falls are a common and often devastating problem among older people, causing a tremendous amount of morbidity, mortality and use of health care services including premature nursing home admissions. Most of these falls are associated with one or more identifiable risk factors (e.g. weakness, unsteady gait, confusion and certain medications), and research has shown that attention to these risk factors can significantly reduce rates of falling. Considerable evidence now documents that the most effective (and cost-effective) fall reduction programmes have involved systematic fall risk assessment and targeted interventions, exercise programmes and environmental-inspection and hazard-reduction programmes. These findings have been substantiated by careful meta-analysis of large numbers of controlled clinical trials and by consensus panels of experts who have developed evidence-based practice guidelines for fall prevention and management. Medical assessment of fall risks and provision of appropriate interventions are challenging because of the complex nature of falls. Optimal approaches involve interdisciplinary collaboration in assessment and interventions, particularly exercise, attention to co-existing medical conditions and environmental inspection and hazard abatement.","container-title":"Age and Ageing","DOI":"10.1093/ageing/afl084","ISSN":"1468-2834, 0002-0729","issue":"suppl_2","language":"en","page":"ii37-ii41","source":"DOI.org (Crossref)","title":"Falls in older people: epidemiology, risk factors and strategies for prevention","title-short":"Falls in older people","volume":"35","author":[{"family":"Rubenstein","given":"Laurence Z."}],"issued":{"date-parts":[["2006",9,1]]}}}],"schema":"https://github.com/citation-style-language/schema/raw/master/csl-citation.json"} </w:instrText>
      </w:r>
      <w:r>
        <w:fldChar w:fldCharType="separate"/>
      </w:r>
      <w:r>
        <w:rPr>
          <w:noProof/>
        </w:rPr>
        <w:t>(Rubenstein, 2006)</w:t>
      </w:r>
      <w:r>
        <w:fldChar w:fldCharType="end"/>
      </w:r>
      <w:r w:rsidR="00F54E85">
        <w:t>. L</w:t>
      </w:r>
      <w:r>
        <w:t>a France a mis en place depuis 2022 un plan « antichute »</w:t>
      </w:r>
      <w:r w:rsidR="00EE2D07">
        <w:t xml:space="preserve"> </w:t>
      </w:r>
      <w:r w:rsidR="00F54E85">
        <w:fldChar w:fldCharType="begin"/>
      </w:r>
      <w:r w:rsidR="00F54E85">
        <w:instrText xml:space="preserve"> ADDIN ZOTERO_ITEM CSL_CITATION {"citationID":"qGeSD3K2","properties":{"formattedCitation":"({\\i{}Plan antichute des personnes \\uc0\\u226{}g\\uc0\\u233{}es}, 2022)","plainCitation":"(Plan antichute des personnes âgées, 2022)","noteIndex":0},"citationItems":[{"id":183,"uris":["http://zotero.org/users/10583480/items/UZIBYKBR"],"itemData":{"id":183,"type":"webpage","abstract":"En France, les chutes des personnes âgées entraînent chaque année plus de 100 000 hospitalisations et plus de 10 000 décès. Ces chutes ont des conséquences physiques, psychologiques, sociales et marquent une rupture dans la vie des individus et une perte d’autonomie.","language":"fr","title":"Plan antichute des personnes âgées","URL":"https://solidarites.gouv.fr/plan-antichute-des-personnes-agees","accessed":{"date-parts":[["2024",12,16]]},"issued":{"date-parts":[["2022",2,21]]}}}],"schema":"https://github.com/citation-style-language/schema/raw/master/csl-citation.json"} </w:instrText>
      </w:r>
      <w:r w:rsidR="00F54E85">
        <w:fldChar w:fldCharType="separate"/>
      </w:r>
      <w:r w:rsidR="00F54E85" w:rsidRPr="00F54E85">
        <w:rPr>
          <w:rFonts w:ascii="Calibri" w:cs="Calibri"/>
        </w:rPr>
        <w:t>(</w:t>
      </w:r>
      <w:r w:rsidR="00F54E85" w:rsidRPr="00F54E85">
        <w:rPr>
          <w:rFonts w:ascii="Calibri" w:cs="Calibri"/>
          <w:i/>
          <w:iCs/>
        </w:rPr>
        <w:t>Plan antichute des personnes âgées</w:t>
      </w:r>
      <w:r w:rsidR="00F54E85" w:rsidRPr="00F54E85">
        <w:rPr>
          <w:rFonts w:ascii="Calibri" w:cs="Calibri"/>
        </w:rPr>
        <w:t>, 2022)</w:t>
      </w:r>
      <w:r w:rsidR="00F54E85">
        <w:fldChar w:fldCharType="end"/>
      </w:r>
      <w:r>
        <w:t xml:space="preserve">. Ce plan vise à réduire le nombre de chutes chez les personnes âgées en mettant </w:t>
      </w:r>
      <w:r w:rsidR="004F5B75">
        <w:t>notamment</w:t>
      </w:r>
      <w:r w:rsidR="004F5B75">
        <w:t xml:space="preserve"> </w:t>
      </w:r>
      <w:r>
        <w:t>en place des aides concrètes</w:t>
      </w:r>
      <w:r w:rsidR="00F54E85">
        <w:t>, comme un manuel pratique à destination des professionnels de santé mettant en évidence des exercices améliorant le contrôle de la posture chez la personne âgée,</w:t>
      </w:r>
      <w:r>
        <w:t xml:space="preserve"> qui permettront d’améliorer le dépistage pour identifier les risques de chutes.</w:t>
      </w:r>
    </w:p>
    <w:p w14:paraId="1D1879E7" w14:textId="77777777" w:rsidR="00965B3C" w:rsidRDefault="00965B3C" w:rsidP="001C18E0">
      <w:pPr>
        <w:spacing w:line="360" w:lineRule="auto"/>
        <w:jc w:val="both"/>
      </w:pPr>
    </w:p>
    <w:p w14:paraId="1236602F" w14:textId="6EF84341" w:rsidR="00401885" w:rsidRDefault="00375188" w:rsidP="001C18E0">
      <w:pPr>
        <w:spacing w:line="360" w:lineRule="auto"/>
        <w:ind w:firstLine="708"/>
        <w:jc w:val="both"/>
      </w:pPr>
      <w:r>
        <w:t>Les chutes peuvent être causé</w:t>
      </w:r>
      <w:r w:rsidR="00AC0A5A">
        <w:t>e</w:t>
      </w:r>
      <w:r>
        <w:t>s par de multiples défaillances mais les troubles de l’équilibre</w:t>
      </w:r>
      <w:r w:rsidR="004F5B75">
        <w:t xml:space="preserve"> </w:t>
      </w:r>
      <w:r>
        <w:t xml:space="preserve">sont un des principaux facteurs de risque chez les personnes âgées </w:t>
      </w:r>
      <w:r>
        <w:fldChar w:fldCharType="begin"/>
      </w:r>
      <w:r>
        <w:instrText xml:space="preserve"> ADDIN ZOTERO_ITEM CSL_CITATION {"citationID":"AzOWxB1z","properties":{"formattedCitation":"(Ang et al., 2020)","plainCitation":"(Ang et al., 2020)","noteIndex":0},"citationItems":[{"id":110,"uris":["http://zotero.org/users/10583480/items/BPVXTWTU"],"itemData":{"id":110,"type":"article-journal","abstract":"One in three community-dwelling elderly aged ≥ 65 years and one in two aged &gt; 80 years will have at least one fall within a year. Many elderly people are ‘silent fallers’ who do not report the fall nor seek medical assistance unless they are injured. In Singapore, falls account for 40% of injury-related deaths. Unaddressed risk factors for falls lead to recurrent falls and poor quality of life. Elderly people who have experienced falls and near falls can have a fear of falling, post-fall anxiety syndrome, depression and reduction in activities, with a negative impact on their well-being. Primary care doctors can screen and optimise modifiable risk factors such as poor vision, balance, poor gait, motor weakness, joint disorders, psychotropic drugs, sedatives, anti-hypertension medications, choice of footwear and environment factors. Timely referrals for cataract operations, balance and strengthening exercises, and osteoporosis treatment can reduce the risk of falls and injurious outcomes.","container-title":"Singapore Medical Journal","DOI":"10.11622/smedj.2020029","ISSN":"0037-5675","issue":"3","journalAbbreviation":"Singapore Med J","note":"PMID: 32488276\nPMCID: PMC7905119","page":"116-121","source":"PubMed Central","title":"Approach to falls among the elderly in the community","volume":"61","author":[{"family":"Ang","given":"Guat Cheng"},{"family":"Low","given":"Shou Lin"},{"family":"How","given":"Choon How"}],"issued":{"date-parts":[["2020",3]]}}}],"schema":"https://github.com/citation-style-language/schema/raw/master/csl-citation.json"} </w:instrText>
      </w:r>
      <w:r>
        <w:fldChar w:fldCharType="separate"/>
      </w:r>
      <w:r>
        <w:rPr>
          <w:noProof/>
        </w:rPr>
        <w:t>(Ang et al., 2020)</w:t>
      </w:r>
      <w:r>
        <w:fldChar w:fldCharType="end"/>
      </w:r>
      <w:r>
        <w:t>.</w:t>
      </w:r>
      <w:r w:rsidR="00C8327F">
        <w:t xml:space="preserve"> Le maintien de l’équilibre est un </w:t>
      </w:r>
      <w:r w:rsidR="002E5F24">
        <w:t>système complexe basé sur l’interaction des récepteurs sensoriels</w:t>
      </w:r>
      <w:r w:rsidR="00A916A7">
        <w:t>, du centre d’intégration cogniti</w:t>
      </w:r>
      <w:r w:rsidR="008D25DC">
        <w:t>f</w:t>
      </w:r>
      <w:r w:rsidR="00A916A7">
        <w:t xml:space="preserve"> et </w:t>
      </w:r>
      <w:r w:rsidR="002E5F24">
        <w:t xml:space="preserve">des effecteurs moteurs </w:t>
      </w:r>
      <w:r w:rsidR="002E5F24">
        <w:fldChar w:fldCharType="begin"/>
      </w:r>
      <w:r w:rsidR="002E5F24">
        <w:instrText xml:space="preserve"> ADDIN ZOTERO_ITEM CSL_CITATION {"citationID":"6ezggE8p","properties":{"formattedCitation":"(Horak, 2006)","plainCitation":"(Horak, 2006)","noteIndex":0},"citationItems":[{"id":106,"uris":["http://zotero.org/users/10583480/items/XYLGCVFU"],"itemData":{"id":106,"type":"article-journal","abstract":"Postural control is no longer considered simply a summation of static reflexes but, rather, a complex skill based on the interaction of dynamic sensorimotor processes. The two main functional goals of postural behaviour are postural orientation and postural equilibrium. Postural orientation involves the active alignment of the trunk and head with respect to gravity, support surfaces, the visual surround and internal references. Sensory information from somatosensory, vestibular and visual systems is integrated, and the relative weights placed on each of these inputs are dependent on the goals of the movement task and the environmental context. Postural equilibrium involves the coordination of movement strategies to stabilise the centre of body mass during both self-initiated and externally triggered disturbances of stability. The specific response strategy selected depends not only on the characteristics of the external postural displacement but also on the individual’s expectations, goals and prior experience. Anticipatory postural adjustments, prior to voluntary limb movement, serve to maintain postural stability by compensating for destabilising forces associated with moving a limb. The amount of cognitive processing required for postural control depends both on the complexity of the postural task and on the capability of the subject’s postural control system. The control of posture involves many different underlying physiological systems that can be affected by pathology or sub-clinical constraints. Damage to any of the underlying systems will result in different, context-specific instabilities. The effective rehabilitation of balance to improve mobility and to prevent falls requires a better understanding of the multiple mechanisms underlying postural control.","container-title":"Age and Ageing","DOI":"10.1093/ageing/afl077","ISSN":"1468-2834, 0002-0729","issue":"suppl_2","language":"en","page":"ii7-ii11","source":"DOI.org (Crossref)","title":"Postural orientation and equilibrium: what do we need to know about neural control of balance to prevent falls?","title-short":"Postural orientation and equilibrium","volume":"35","author":[{"family":"Horak","given":"Fay B."}],"issued":{"date-parts":[["2006",9,1]]}}}],"schema":"https://github.com/citation-style-language/schema/raw/master/csl-citation.json"} </w:instrText>
      </w:r>
      <w:r w:rsidR="002E5F24">
        <w:fldChar w:fldCharType="separate"/>
      </w:r>
      <w:r w:rsidR="002E5F24">
        <w:rPr>
          <w:noProof/>
        </w:rPr>
        <w:t>(Horak, 2006)</w:t>
      </w:r>
      <w:r w:rsidR="002E5F24">
        <w:fldChar w:fldCharType="end"/>
      </w:r>
      <w:r w:rsidR="002E5F24">
        <w:t xml:space="preserve">. </w:t>
      </w:r>
      <w:r w:rsidR="00EA7F12">
        <w:t xml:space="preserve">Dans l’étude de </w:t>
      </w:r>
      <w:proofErr w:type="spellStart"/>
      <w:r w:rsidR="00EA7F12">
        <w:t>Horak</w:t>
      </w:r>
      <w:proofErr w:type="spellEnd"/>
      <w:r w:rsidR="00EA7F12">
        <w:t xml:space="preserve"> en 2006 reprise par Sibley en 201</w:t>
      </w:r>
      <w:r w:rsidR="00AC0A5A">
        <w:t>5</w:t>
      </w:r>
      <w:r w:rsidR="00EA7F12">
        <w:t xml:space="preserve">, </w:t>
      </w:r>
      <w:r w:rsidR="00AC0A5A">
        <w:t xml:space="preserve">sont décrites </w:t>
      </w:r>
      <w:r w:rsidR="00401885">
        <w:t>neuf sous-composantes du contrôle de l’équilibre :  la stabilité statique, les systèmes moteurs sous-jacents, le contrôle postural réactif, la stabilité dynamique, l’intégration sensorielle, le contrôle postural anticipatif, limites de la stabilité fonctionnelle, la verticalité et les influences cognitives</w:t>
      </w:r>
      <w:r w:rsidR="00AC0A5A">
        <w:t xml:space="preserve"> </w:t>
      </w:r>
      <w:r w:rsidR="00AC0A5A">
        <w:fldChar w:fldCharType="begin"/>
      </w:r>
      <w:r w:rsidR="00AC0A5A">
        <w:instrText xml:space="preserve"> ADDIN ZOTERO_ITEM CSL_CITATION {"citationID":"DFvwx55w","properties":{"formattedCitation":"(Sibley, Beauchamp, Van Ooteghem, et al., 2015)","plainCitation":"(Sibley, Beauchamp, Van Ooteghem, et al., 2015)","noteIndex":0},"citationItems":[{"id":156,"uris":["http://zotero.org/users/10583480/items/PDTGEDVF"],"itemData":{"id":156,"type":"article-journal","abstract":"OBJECTIVE: To identify components of postural control included in standardized balance measures for adult populations.\nDATA SOURCES: Electronic searches of MEDLINE, EMBASE, and CINAHL databases using keyword combinations of postural balance/equilibrium, psychometrics/reproducibility of results/predictive value of tests/validation studies, instrument construction/instrument validation, geriatric assessment/disability evaluation, gray literature, and hand searches.\nSTUDY SELECTION: Inclusion criteria were measures with a stated objective to assess balance, adult populations (18y and older), at least 1 psychometric evaluation, 1 standing task, a standardized protocol and evaluation criteria, and published in English. Two reviewers independently identified studies for inclusion. Sixty-six measures were included.\nDATA EXTRACTION: A research assistant extracted descriptive characteristics and 2 reviewers independently coded components of balance in each measure using the Systems Framework for Postural Control, a widely recognized model of balance.\nDATA SYNTHESIS: Components of balance evaluated in these measures were underlying motor systems (100% of measures), anticipatory postural control (71%), dynamic stability (67%), static stability (64%), sensory integration (48%), functional stability limits (27%), reactive postural control (23%), cognitive influences (17%), and verticality (8%). Thirty-four measures evaluated 3 or fewer components of balance, and 1 measure-the Balance Evaluation Systems Test-evaluated all components of balance.\nCONCLUSIONS: Several standardized balance measures provide only partial information on postural control and omit important components of balance related to avoiding falls. As such, the choice of measure(s) may limit the overall interpretation of an individual's balance ability. Continued work is necessary to increase the implementation of comprehensive balance assessment in research and practice.","container-title":"Archives of Physical Medicine and Rehabilitation","DOI":"10.1016/j.apmr.2014.06.021","ISSN":"1532-821X","issue":"1","journalAbbreviation":"Arch Phys Med Rehabil","language":"eng","note":"PMID: 25073007","page":"122-132.e29","source":"PubMed","title":"Using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K."},{"family":"Van Ooteghem","given":"Karen"},{"family":"Straus","given":"Sharon E."},{"family":"Jaglal","given":"Susan B."}],"issued":{"date-parts":[["2015",1]]}}}],"schema":"https://github.com/citation-style-language/schema/raw/master/csl-citation.json"} </w:instrText>
      </w:r>
      <w:r w:rsidR="00AC0A5A">
        <w:fldChar w:fldCharType="separate"/>
      </w:r>
      <w:r w:rsidR="00AC0A5A">
        <w:rPr>
          <w:noProof/>
        </w:rPr>
        <w:t>(Sibley, Beauchamp, Van Ooteghem, et al., 2015)</w:t>
      </w:r>
      <w:r w:rsidR="00AC0A5A">
        <w:fldChar w:fldCharType="end"/>
      </w:r>
      <w:r w:rsidR="00401885">
        <w:t xml:space="preserve">. </w:t>
      </w:r>
    </w:p>
    <w:p w14:paraId="32349E7C" w14:textId="77777777" w:rsidR="00965B3C" w:rsidRDefault="00965B3C" w:rsidP="001C18E0">
      <w:pPr>
        <w:spacing w:line="360" w:lineRule="auto"/>
        <w:jc w:val="both"/>
      </w:pPr>
    </w:p>
    <w:p w14:paraId="2032A73A" w14:textId="2F1B19AE" w:rsidR="00965B3C" w:rsidRDefault="00375188" w:rsidP="001C18E0">
      <w:pPr>
        <w:spacing w:line="360" w:lineRule="auto"/>
        <w:ind w:firstLine="708"/>
        <w:jc w:val="both"/>
      </w:pPr>
      <w:r>
        <w:t xml:space="preserve"> L’évaluation de l’équilibre par le masseur-kinésithérapeute </w:t>
      </w:r>
      <w:r w:rsidR="002E5F24">
        <w:t xml:space="preserve">(MK) </w:t>
      </w:r>
      <w:r>
        <w:t>est un aspect fondamental de la prévention des chutes</w:t>
      </w:r>
      <w:r w:rsidR="00EA7F12">
        <w:t xml:space="preserve"> </w:t>
      </w:r>
      <w:r w:rsidR="00EA7F12">
        <w:fldChar w:fldCharType="begin"/>
      </w:r>
      <w:r w:rsidR="00EA7F12">
        <w:instrText xml:space="preserve"> ADDIN ZOTERO_ITEM CSL_CITATION {"citationID":"ctokyFBP","properties":{"formattedCitation":"(Ciss\\uc0\\u233{} et al., 2023)","plainCitation":"(Cissé et al., 2023)","noteIndex":0},"citationItems":[{"id":236,"uris":["http://zotero.org/users/10583480/items/RJE9FMKH"],"itemData":{"id":236,"type":"article-journal","abstract":"Introduction\nLes chutes du sujet âgé sont un problème majeur de santé publique. Elles entraînent la mort de plus de 9000 personnes chaque année [1], favorisent la dépendance et l’admission en EHPAD, et génèrent 2 milliards d’euros de coûts directs hospitaliers. Le gouvernement veut réduire de 20 % les chutes graves ou mortelles d’ici 2024 [2]. Des interventions de prévention efficaces sont décrites dans la littérature [3], [4], mais leur implémentation en population générale semble problématique. Dans ce contexte, nous avons envisagé la création d’un réseau de santé dédié à la prévention des chutes, structuré autour des masseurs-kinésithérapeutes (MK). Cette étude avait pour objectif de faire l’état des lieux des pratiques des MK dans ce domaine et d’évaluer leur appétence à intégrer ce réseau de santé et à participer à des actions de prévention des chutes.\nMatériel et méthodes\nUne étude observationnelle descriptive avec un recueil de données transversal a été menée en mai 2022. Un questionnaire auto-administré en ligne a été adressé aux 120 MK libéraux exerçant sur la commune de Pessac. Le questionnaire a été diffusé sur les réseaux sociaux, par sms et par mail, durant 4 semaines. Il comportait 15 questions (temps de réponse estimé&lt;3minutes). Nous avons réalisé une analyse statistique descriptive des données et déterminé des proportions de participation sous hypothèse du biais maximum.\nRésultats\nAu total, 28 MK ont participé à l’étude, soit un taux de participation de 23 %. Parmi eux, 46 % déclaraient avoir déjà pris en charge un patient dans le cadre préventif des chutes, 32 % déclaraient accorder une attention particulière et évaluer le risque de chute systématiquement. Une majorité des MK (61 %) se disaient intéressés à réaliser le dépistage du risque de chute en population générale et 54 % à assurer des prises en charge personnalisées individuelles ou de groupes de prévention des chutes. Sous l’hypothèse du biais maximum, cela représentait respectivement 14 % et 12 % des MK de Pessac. 50 % des répondants étaient favorables à intégrer un réseau de santé dédié à la prévention des chutes, soit 12 % des MK sous l’hypothèse du biais maximum.\nDiscussion/conclusion\nNotre étude met en évidence que des MK sont déjà impliqués dans le parcours préventif des chutes. Les MK qui ont répondu à l’enquête montrent une appétence pour ce domaine. Pour implanter ce réseau de santé, d’autres actions locales doivent être maintenant menées liées à l’accès direct et/ou à l’implication des médecins prescripteurs [5].","collection-title":"Journées francophones de Kinésithérapie 2023","container-title":"Kinésithérapie, la Revue","DOI":"10.1016/j.kine.2022.12.011","ISSN":"1779-0123","issue":"255","journalAbbreviation":"Kinésithérapie, la Revue","page":"7","source":"ScienceDirect","title":"État des lieux des pratiques des kinésithérapeutes en matière de prévention des chutes du sujet âgé de plus de 65 ans et évaluation de leur appétence à intégrer un réseau de santé dédié à la prévention : enquête réalisée auprès des praticiens de la ville de Pessac","title-short":"État des lieux des pratiques des kinésithérapeutes en matière de prévention des chutes du sujet âgé de plus de 65 ans et évaluation de leur appétence à intégrer un réseau de santé dédié à la prévention","volume":"23","author":[{"family":"Cissé","given":"Boucari"},{"family":"Peres-Bouchet","given":"Karine"},{"family":"Duclos","given":"Noémie"}],"issued":{"date-parts":[["2023",3,1]]}}}],"schema":"https://github.com/citation-style-language/schema/raw/master/csl-citation.json"} </w:instrText>
      </w:r>
      <w:r w:rsidR="00EA7F12">
        <w:fldChar w:fldCharType="separate"/>
      </w:r>
      <w:r w:rsidR="00EA7F12" w:rsidRPr="00EA7F12">
        <w:rPr>
          <w:rFonts w:ascii="Calibri" w:cs="Calibri"/>
        </w:rPr>
        <w:t>(Cissé et al., 2023)</w:t>
      </w:r>
      <w:r w:rsidR="00EA7F12">
        <w:fldChar w:fldCharType="end"/>
      </w:r>
      <w:r w:rsidR="00C8327F">
        <w:t xml:space="preserve">. </w:t>
      </w:r>
      <w:r w:rsidR="00EA7F12">
        <w:t>Il existe de nombreuses techniques permettant d’évaluer l</w:t>
      </w:r>
      <w:r w:rsidR="00AC0A5A">
        <w:t>’équilibre</w:t>
      </w:r>
      <w:r w:rsidR="00EA7F12">
        <w:t xml:space="preserve"> d’un individu mais celles-ci ne sont pas toutes exhaustives. Certaines de ces techniques n’évalue</w:t>
      </w:r>
      <w:r w:rsidR="004F5B75">
        <w:t>nt</w:t>
      </w:r>
      <w:r w:rsidR="00EA7F12">
        <w:t xml:space="preserve"> réellement qu’un</w:t>
      </w:r>
      <w:r w:rsidR="004F5B75">
        <w:t>e</w:t>
      </w:r>
      <w:r w:rsidR="00EA7F12">
        <w:t xml:space="preserve"> partie des </w:t>
      </w:r>
      <w:r w:rsidR="00AC0A5A">
        <w:t>neuf</w:t>
      </w:r>
      <w:r w:rsidR="00EA7F12">
        <w:t xml:space="preserve"> sous composantes du maintien postural </w:t>
      </w:r>
      <w:r w:rsidR="00C8327F">
        <w:lastRenderedPageBreak/>
        <w:fldChar w:fldCharType="begin"/>
      </w:r>
      <w:r w:rsidR="00D27E0A">
        <w:instrText xml:space="preserve"> ADDIN ZOTERO_ITEM CSL_CITATION {"citationID":"mXpn7Zui","properties":{"formattedCitation":"(Sibley, Beauchamp, Ooteghem, et al., 2015)","plainCitation":"(Sibley, Beauchamp, Ooteghem, et al., 2015)","noteIndex":0},"citationItems":[{"id":"yBnlN4SL/oxguExi7","uris":["http://zotero.org/users/10583480/items/DRIFK8AN"],"itemData":{"id":153,"type":"article-journal","container-title":"Archives of Physical Medicine and Rehabilitation","DOI":"10.1016/j.apmr.2014.06.021","ISSN":"0003-9993, 1532-821X","issue":"1","journalAbbreviation":"Archives of Physical Medicine and Rehabilitation","language":"English","note":"publisher: Elsevier\nPMID: 25073007","page":"122-132.e29","source":"www.archives-pmr.org","title":"Using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K."},{"family":"Ooteghem","given":"Karen Van"},{"family":"Straus","given":"Sharon E."},{"family":"Jaglal","given":"Susan B."}],"issued":{"date-parts":[["2015",1,1]]}}}],"schema":"https://github.com/citation-style-language/schema/raw/master/csl-citation.json"} </w:instrText>
      </w:r>
      <w:r w:rsidR="00C8327F">
        <w:fldChar w:fldCharType="separate"/>
      </w:r>
      <w:r w:rsidR="00BC5B07">
        <w:rPr>
          <w:noProof/>
        </w:rPr>
        <w:t>(Sibley, Beauchamp, Ooteghem, et al., 2015)</w:t>
      </w:r>
      <w:r w:rsidR="00C8327F">
        <w:fldChar w:fldCharType="end"/>
      </w:r>
      <w:r w:rsidR="00C8327F">
        <w:t xml:space="preserve">. </w:t>
      </w:r>
      <w:r w:rsidR="00401885">
        <w:t>Seul le B</w:t>
      </w:r>
      <w:r w:rsidR="00965B3C">
        <w:t xml:space="preserve">alance </w:t>
      </w:r>
      <w:proofErr w:type="spellStart"/>
      <w:r w:rsidR="00965B3C">
        <w:t>Evaluation</w:t>
      </w:r>
      <w:proofErr w:type="spellEnd"/>
      <w:r w:rsidR="00965B3C">
        <w:t xml:space="preserve"> System</w:t>
      </w:r>
      <w:r w:rsidR="00401885">
        <w:t xml:space="preserve"> T</w:t>
      </w:r>
      <w:r w:rsidR="00965B3C">
        <w:t>est (BEST)</w:t>
      </w:r>
      <w:r w:rsidR="00401885">
        <w:t xml:space="preserve"> permet d’évaluer toutes les composantes du maintien de l’équilibre</w:t>
      </w:r>
      <w:r w:rsidR="00AC0A5A">
        <w:t xml:space="preserve"> </w:t>
      </w:r>
      <w:r w:rsidR="00401885">
        <w:fldChar w:fldCharType="begin"/>
      </w:r>
      <w:r w:rsidR="00D27E0A">
        <w:instrText xml:space="preserve"> ADDIN ZOTERO_ITEM CSL_CITATION {"citationID":"20uRXUQO","properties":{"formattedCitation":"(Sibley, Beauchamp, Ooteghem, et al., 2015)","plainCitation":"(Sibley, Beauchamp, Ooteghem, et al., 2015)","noteIndex":0},"citationItems":[{"id":"yBnlN4SL/oxguExi7","uris":["http://zotero.org/users/10583480/items/DRIFK8AN"],"itemData":{"id":153,"type":"article-journal","container-title":"Archives of Physical Medicine and Rehabilitation","DOI":"10.1016/j.apmr.2014.06.021","ISSN":"0003-9993, 1532-821X","issue":"1","journalAbbreviation":"Archives of Physical Medicine and Rehabilitation","language":"English","note":"publisher: Elsevier\nPMID: 25073007","page":"122-132.e29","source":"www.archives-pmr.org","title":"Using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K."},{"family":"Ooteghem","given":"Karen Van"},{"family":"Straus","given":"Sharon E."},{"family":"Jaglal","given":"Susan B."}],"issued":{"date-parts":[["2015",1,1]]}}}],"schema":"https://github.com/citation-style-language/schema/raw/master/csl-citation.json"} </w:instrText>
      </w:r>
      <w:r w:rsidR="00401885">
        <w:fldChar w:fldCharType="separate"/>
      </w:r>
      <w:r w:rsidR="00BC5B07">
        <w:rPr>
          <w:noProof/>
        </w:rPr>
        <w:t>(Sibley, Beauchamp, Ooteghem, et al., 2015)</w:t>
      </w:r>
      <w:r w:rsidR="00401885">
        <w:fldChar w:fldCharType="end"/>
      </w:r>
      <w:r w:rsidR="00401885">
        <w:t xml:space="preserve">. </w:t>
      </w:r>
      <w:r w:rsidR="002E5F24">
        <w:t>L’objectif de ce MIRMK est d’identifier quel</w:t>
      </w:r>
      <w:r w:rsidR="004F5B75">
        <w:t>s</w:t>
      </w:r>
      <w:r w:rsidR="002E5F24">
        <w:t xml:space="preserve"> sont </w:t>
      </w:r>
      <w:r w:rsidR="00CB16BD">
        <w:t>les tests</w:t>
      </w:r>
      <w:r w:rsidR="002E5F24">
        <w:t xml:space="preserve"> d’équilibre utilisés</w:t>
      </w:r>
      <w:r w:rsidR="00CB16BD">
        <w:t xml:space="preserve"> </w:t>
      </w:r>
      <w:r w:rsidR="002E5F24">
        <w:t>préférentiellement par les MK français. Puis secondairement, de pouvoir associer les tests aux composantes</w:t>
      </w:r>
      <w:r w:rsidR="00401885">
        <w:t xml:space="preserve"> de l’</w:t>
      </w:r>
      <w:r w:rsidR="002E5F24">
        <w:t>équilibre qu’ils évaluent.</w:t>
      </w:r>
    </w:p>
    <w:p w14:paraId="41A91A8F" w14:textId="77777777" w:rsidR="00C2125F" w:rsidRDefault="00C2125F" w:rsidP="001C18E0">
      <w:pPr>
        <w:spacing w:line="360" w:lineRule="auto"/>
        <w:ind w:firstLine="708"/>
        <w:jc w:val="both"/>
      </w:pPr>
    </w:p>
    <w:p w14:paraId="156F56C2" w14:textId="77777777" w:rsidR="001437DB" w:rsidRDefault="001437DB" w:rsidP="001C18E0">
      <w:pPr>
        <w:spacing w:line="360" w:lineRule="auto"/>
        <w:ind w:firstLine="708"/>
        <w:jc w:val="both"/>
      </w:pPr>
    </w:p>
    <w:p w14:paraId="5FE5DDE5" w14:textId="77777777" w:rsidR="001437DB" w:rsidRDefault="001437DB" w:rsidP="001C18E0">
      <w:pPr>
        <w:spacing w:line="360" w:lineRule="auto"/>
        <w:ind w:firstLine="708"/>
        <w:jc w:val="both"/>
      </w:pPr>
    </w:p>
    <w:p w14:paraId="231147C1" w14:textId="77777777" w:rsidR="001437DB" w:rsidRDefault="001437DB" w:rsidP="001C18E0">
      <w:pPr>
        <w:spacing w:line="360" w:lineRule="auto"/>
        <w:ind w:firstLine="708"/>
        <w:jc w:val="both"/>
      </w:pPr>
    </w:p>
    <w:p w14:paraId="25FA95FB" w14:textId="77777777" w:rsidR="001437DB" w:rsidRDefault="001437DB" w:rsidP="001C18E0">
      <w:pPr>
        <w:spacing w:line="360" w:lineRule="auto"/>
        <w:ind w:firstLine="708"/>
        <w:jc w:val="both"/>
      </w:pPr>
    </w:p>
    <w:p w14:paraId="4E72FB8E" w14:textId="77777777" w:rsidR="001437DB" w:rsidRDefault="001437DB" w:rsidP="001C18E0">
      <w:pPr>
        <w:spacing w:line="360" w:lineRule="auto"/>
        <w:ind w:firstLine="708"/>
        <w:jc w:val="both"/>
      </w:pPr>
    </w:p>
    <w:p w14:paraId="07DB915C" w14:textId="77777777" w:rsidR="001437DB" w:rsidRDefault="001437DB" w:rsidP="001C18E0">
      <w:pPr>
        <w:spacing w:line="360" w:lineRule="auto"/>
        <w:ind w:firstLine="708"/>
        <w:jc w:val="both"/>
      </w:pPr>
    </w:p>
    <w:p w14:paraId="7D8A2DC4" w14:textId="77777777" w:rsidR="001437DB" w:rsidRDefault="001437DB" w:rsidP="001C18E0">
      <w:pPr>
        <w:spacing w:line="360" w:lineRule="auto"/>
        <w:ind w:firstLine="708"/>
        <w:jc w:val="both"/>
      </w:pPr>
    </w:p>
    <w:p w14:paraId="101B99BF" w14:textId="77777777" w:rsidR="001437DB" w:rsidRDefault="001437DB" w:rsidP="001C18E0">
      <w:pPr>
        <w:spacing w:line="360" w:lineRule="auto"/>
        <w:ind w:firstLine="708"/>
        <w:jc w:val="both"/>
      </w:pPr>
    </w:p>
    <w:p w14:paraId="3B593E47" w14:textId="77777777" w:rsidR="001437DB" w:rsidRDefault="001437DB" w:rsidP="001C18E0">
      <w:pPr>
        <w:spacing w:line="360" w:lineRule="auto"/>
        <w:ind w:firstLine="708"/>
        <w:jc w:val="both"/>
      </w:pPr>
    </w:p>
    <w:p w14:paraId="1F1A703F" w14:textId="77777777" w:rsidR="001437DB" w:rsidRDefault="001437DB" w:rsidP="001C18E0">
      <w:pPr>
        <w:spacing w:line="360" w:lineRule="auto"/>
        <w:ind w:firstLine="708"/>
        <w:jc w:val="both"/>
      </w:pPr>
    </w:p>
    <w:p w14:paraId="519E3C23" w14:textId="77777777" w:rsidR="001437DB" w:rsidRDefault="001437DB" w:rsidP="001C18E0">
      <w:pPr>
        <w:spacing w:line="360" w:lineRule="auto"/>
        <w:ind w:firstLine="708"/>
        <w:jc w:val="both"/>
      </w:pPr>
    </w:p>
    <w:p w14:paraId="2C9DEE69" w14:textId="77777777" w:rsidR="001437DB" w:rsidRDefault="001437DB" w:rsidP="001C18E0">
      <w:pPr>
        <w:spacing w:line="360" w:lineRule="auto"/>
        <w:ind w:firstLine="708"/>
        <w:jc w:val="both"/>
      </w:pPr>
    </w:p>
    <w:p w14:paraId="010E7B8F" w14:textId="77777777" w:rsidR="001437DB" w:rsidRDefault="001437DB" w:rsidP="001C18E0">
      <w:pPr>
        <w:spacing w:line="360" w:lineRule="auto"/>
        <w:ind w:firstLine="708"/>
        <w:jc w:val="both"/>
      </w:pPr>
    </w:p>
    <w:p w14:paraId="13CFA1D1" w14:textId="77777777" w:rsidR="001437DB" w:rsidRDefault="001437DB" w:rsidP="001C18E0">
      <w:pPr>
        <w:spacing w:line="360" w:lineRule="auto"/>
        <w:ind w:firstLine="708"/>
        <w:jc w:val="both"/>
      </w:pPr>
    </w:p>
    <w:p w14:paraId="402F1F12" w14:textId="77777777" w:rsidR="001437DB" w:rsidRDefault="001437DB" w:rsidP="001C18E0">
      <w:pPr>
        <w:spacing w:line="360" w:lineRule="auto"/>
        <w:ind w:firstLine="708"/>
        <w:jc w:val="both"/>
      </w:pPr>
    </w:p>
    <w:p w14:paraId="2D5601AE" w14:textId="77777777" w:rsidR="001437DB" w:rsidRDefault="001437DB" w:rsidP="001C18E0">
      <w:pPr>
        <w:spacing w:line="360" w:lineRule="auto"/>
        <w:ind w:firstLine="708"/>
        <w:jc w:val="both"/>
      </w:pPr>
    </w:p>
    <w:p w14:paraId="3245A2F0" w14:textId="77777777" w:rsidR="001437DB" w:rsidRDefault="001437DB" w:rsidP="001C18E0">
      <w:pPr>
        <w:spacing w:line="360" w:lineRule="auto"/>
        <w:ind w:firstLine="708"/>
        <w:jc w:val="both"/>
      </w:pPr>
    </w:p>
    <w:p w14:paraId="7B3E60C1" w14:textId="595FBE75" w:rsidR="005C0BE0" w:rsidRPr="005C0BE0" w:rsidRDefault="003170C9" w:rsidP="001C18E0">
      <w:pPr>
        <w:pStyle w:val="Titre1"/>
        <w:spacing w:line="360" w:lineRule="auto"/>
        <w:jc w:val="both"/>
      </w:pPr>
      <w:bookmarkStart w:id="3" w:name="_Toc221704605"/>
      <w:r>
        <w:lastRenderedPageBreak/>
        <w:t>Introduction</w:t>
      </w:r>
      <w:bookmarkEnd w:id="3"/>
    </w:p>
    <w:p w14:paraId="5FBD9176" w14:textId="65F9D206" w:rsidR="004C6B60" w:rsidRPr="0017604F" w:rsidRDefault="007C4789" w:rsidP="001C18E0">
      <w:pPr>
        <w:pStyle w:val="Titre2"/>
        <w:spacing w:line="360" w:lineRule="auto"/>
        <w:jc w:val="both"/>
      </w:pPr>
      <w:bookmarkStart w:id="4" w:name="_Toc221704606"/>
      <w:r>
        <w:t>Les personnes âgées</w:t>
      </w:r>
      <w:bookmarkEnd w:id="4"/>
    </w:p>
    <w:p w14:paraId="06823EB4" w14:textId="0BD93E0A" w:rsidR="004C6B60" w:rsidRDefault="0017604F" w:rsidP="001C18E0">
      <w:pPr>
        <w:pStyle w:val="Titre3"/>
        <w:spacing w:line="360" w:lineRule="auto"/>
        <w:jc w:val="both"/>
      </w:pPr>
      <w:bookmarkStart w:id="5" w:name="_Toc221704607"/>
      <w:r>
        <w:t>Définition de la personne âgée</w:t>
      </w:r>
      <w:bookmarkEnd w:id="5"/>
    </w:p>
    <w:p w14:paraId="4DAC22E8" w14:textId="4BD98201" w:rsidR="004C6B60" w:rsidRDefault="00FC618F" w:rsidP="001C18E0">
      <w:pPr>
        <w:spacing w:line="360" w:lineRule="auto"/>
        <w:ind w:firstLine="397"/>
        <w:jc w:val="both"/>
        <w:rPr>
          <w:rFonts w:cstheme="minorHAnsi"/>
        </w:rPr>
      </w:pPr>
      <w:r w:rsidRPr="00544AF7">
        <w:rPr>
          <w:rFonts w:cstheme="minorHAnsi"/>
        </w:rPr>
        <w:t>Du point de vue chronologique, l’Organisation Mondiale de la Santé (OMS)</w:t>
      </w:r>
      <w:r w:rsidR="00EA7F12" w:rsidRPr="00544AF7">
        <w:rPr>
          <w:rFonts w:cstheme="minorHAnsi"/>
        </w:rPr>
        <w:t xml:space="preserve"> définit une personne âgée lorsque l’âge d’un individu dépasse 60 ans</w:t>
      </w:r>
      <w:r w:rsidRPr="00544AF7">
        <w:rPr>
          <w:rFonts w:cstheme="minorHAnsi"/>
        </w:rPr>
        <w:t xml:space="preserve"> </w:t>
      </w:r>
      <w:r w:rsidRPr="00544AF7">
        <w:rPr>
          <w:rFonts w:cstheme="minorHAnsi"/>
        </w:rPr>
        <w:fldChar w:fldCharType="begin"/>
      </w:r>
      <w:r w:rsidR="00E072F8">
        <w:rPr>
          <w:rFonts w:cstheme="minorHAnsi"/>
        </w:rPr>
        <w:instrText xml:space="preserve"> ADDIN ZOTERO_ITEM CSL_CITATION {"citationID":"HPayur5g","properties":{"formattedCitation":"({\\i{}D\\uc0\\u233{}cennie du vieillissement en bonne sant\\uc0\\u233{}}, 2021)","plainCitation":"(Décennie du vieillissement en bonne santé, 2021)","noteIndex":0},"citationItems":[{"id":162,"uris":["http://zotero.org/users/10583480/items/ARAUN738"],"itemData":{"id":162,"type":"webpage","abstract":"Si les personnes âgées ne font plus l’objet de mesures distinctives dans la lutte contre le Covid-19, elles restent néanmoins fragiles face au virus et sa deuxième vague. A l’occasion de la « Décennie des Nations Unies pour le vieillissement en bonne santé » (2021-2030), l’OMS rappelle que la pandémie continue à être une source de craintes et de souffrances chez les personnes âgées du monde entier. |","language":"fr","title":"Décennie du vieillissement en bonne santé","title-short":"Décennie du vieillissement en bonne santé","URL":"https://news.un.org/fr/story/2021/01/1086002","accessed":{"date-parts":[["2024",12,16]]},"issued":{"date-parts":[["2021",1,6]]}}}],"schema":"https://github.com/citation-style-language/schema/raw/master/csl-citation.json"} </w:instrText>
      </w:r>
      <w:r w:rsidRPr="00544AF7">
        <w:rPr>
          <w:rFonts w:cstheme="minorHAnsi"/>
        </w:rPr>
        <w:fldChar w:fldCharType="separate"/>
      </w:r>
      <w:r w:rsidRPr="00544AF7">
        <w:rPr>
          <w:rFonts w:cstheme="minorHAnsi"/>
        </w:rPr>
        <w:t>(</w:t>
      </w:r>
      <w:r w:rsidRPr="00544AF7">
        <w:rPr>
          <w:rFonts w:cstheme="minorHAnsi"/>
          <w:i/>
          <w:iCs/>
        </w:rPr>
        <w:t>Décennie du vieillissement en bonne santé</w:t>
      </w:r>
      <w:r w:rsidRPr="00544AF7">
        <w:rPr>
          <w:rFonts w:cstheme="minorHAnsi"/>
        </w:rPr>
        <w:t>, 2021)</w:t>
      </w:r>
      <w:r w:rsidRPr="00544AF7">
        <w:rPr>
          <w:rFonts w:cstheme="minorHAnsi"/>
        </w:rPr>
        <w:fldChar w:fldCharType="end"/>
      </w:r>
      <w:r w:rsidR="002F3694" w:rsidRPr="00544AF7">
        <w:rPr>
          <w:rFonts w:cstheme="minorHAnsi"/>
        </w:rPr>
        <w:t xml:space="preserve">. En France, l’âge retenu à partir duquel une personne est considérée </w:t>
      </w:r>
      <w:r w:rsidR="00EE2312" w:rsidRPr="00544AF7">
        <w:rPr>
          <w:rFonts w:cstheme="minorHAnsi"/>
        </w:rPr>
        <w:t>comme</w:t>
      </w:r>
      <w:r w:rsidR="009C3212">
        <w:rPr>
          <w:rFonts w:cstheme="minorHAnsi"/>
        </w:rPr>
        <w:t xml:space="preserve"> personne âgée</w:t>
      </w:r>
      <w:r w:rsidR="002F3694" w:rsidRPr="00544AF7">
        <w:rPr>
          <w:rFonts w:cstheme="minorHAnsi"/>
        </w:rPr>
        <w:t xml:space="preserve"> </w:t>
      </w:r>
      <w:r w:rsidR="009C3212">
        <w:rPr>
          <w:rFonts w:cstheme="minorHAnsi"/>
        </w:rPr>
        <w:t>(</w:t>
      </w:r>
      <w:r w:rsidR="002F3694" w:rsidRPr="00544AF7">
        <w:rPr>
          <w:rFonts w:cstheme="minorHAnsi"/>
        </w:rPr>
        <w:t>PA</w:t>
      </w:r>
      <w:r w:rsidR="009C3212">
        <w:rPr>
          <w:rFonts w:cstheme="minorHAnsi"/>
        </w:rPr>
        <w:t>)</w:t>
      </w:r>
      <w:r w:rsidR="002F3694" w:rsidRPr="00544AF7">
        <w:rPr>
          <w:rFonts w:cstheme="minorHAnsi"/>
        </w:rPr>
        <w:t xml:space="preserve"> est 6</w:t>
      </w:r>
      <w:r w:rsidR="00CB2914" w:rsidRPr="00544AF7">
        <w:rPr>
          <w:rFonts w:cstheme="minorHAnsi"/>
        </w:rPr>
        <w:t>0</w:t>
      </w:r>
      <w:r w:rsidR="002F3694" w:rsidRPr="00544AF7">
        <w:rPr>
          <w:rFonts w:cstheme="minorHAnsi"/>
        </w:rPr>
        <w:t xml:space="preserve"> ans </w:t>
      </w:r>
      <w:r w:rsidR="002F3694" w:rsidRPr="00544AF7">
        <w:rPr>
          <w:rFonts w:cstheme="minorHAnsi"/>
        </w:rPr>
        <w:fldChar w:fldCharType="begin"/>
      </w:r>
      <w:r w:rsidR="002F3694" w:rsidRPr="00544AF7">
        <w:rPr>
          <w:rFonts w:cstheme="minorHAnsi"/>
        </w:rPr>
        <w:instrText xml:space="preserve"> ADDIN ZOTERO_TEMP </w:instrText>
      </w:r>
      <w:r w:rsidR="002F3694" w:rsidRPr="00544AF7">
        <w:rPr>
          <w:rFonts w:cstheme="minorHAnsi"/>
        </w:rPr>
        <w:fldChar w:fldCharType="separate"/>
      </w:r>
      <w:r w:rsidR="002F3694" w:rsidRPr="00544AF7">
        <w:rPr>
          <w:rFonts w:cstheme="minorHAnsi"/>
          <w:noProof/>
        </w:rPr>
        <w:t xml:space="preserve"> </w:t>
      </w:r>
      <w:r w:rsidR="002F3694" w:rsidRPr="00544AF7">
        <w:rPr>
          <w:rFonts w:cstheme="minorHAnsi"/>
        </w:rPr>
        <w:fldChar w:fldCharType="end"/>
      </w:r>
      <w:r w:rsidR="002F3694" w:rsidRPr="00544AF7">
        <w:rPr>
          <w:rFonts w:cstheme="minorHAnsi"/>
        </w:rPr>
        <w:fldChar w:fldCharType="begin"/>
      </w:r>
      <w:r w:rsidR="00AC0A5A">
        <w:rPr>
          <w:rFonts w:cstheme="minorHAnsi"/>
        </w:rPr>
        <w:instrText xml:space="preserve"> ADDIN ZOTERO_ITEM CSL_CITATION {"citationID":"7ZlCms8Y","properties":{"formattedCitation":"(SPF, 2024)","plainCitation":"(SPF, 2024)","noteIndex":0},"citationItems":[{"id":294,"uris":["http://zotero.org/users/10583480/items/6FTWTTE8"],"itemData":{"id":294,"type":"webpage","abstract":"La surveillance épidémiologique des chutes chez les personnes âgées.","language":"fr","title":"La surveillance épidémiologique des chutes chez les personnes âgées. Numéro thématique. Vieillissement et fragilité : approches de santé publique","title-short":"La surveillance épidémiologique des chutes chez les personnes âgées. Numéro thématique. Vieillissement et fragilité","URL":"https://www.santepubliquefrance.fr/maladies-et-traumatismes/traumatismes/chute/la-surveillance-epidemiologique-des-chutes-chez-les-personnes-agees.-numero-thematique.-vieillissement-et-fragilite-approches-de-sante-publique","author":[{"literal":"SPF"}],"accessed":{"date-parts":[["2024",12,16]]},"issued":{"date-parts":[["2024",12,16]]}}}],"schema":"https://github.com/citation-style-language/schema/raw/master/csl-citation.json"} </w:instrText>
      </w:r>
      <w:r w:rsidR="002F3694" w:rsidRPr="00544AF7">
        <w:rPr>
          <w:rFonts w:cstheme="minorHAnsi"/>
        </w:rPr>
        <w:fldChar w:fldCharType="separate"/>
      </w:r>
      <w:r w:rsidR="00AC0A5A">
        <w:rPr>
          <w:rFonts w:cstheme="minorHAnsi"/>
        </w:rPr>
        <w:t>(SPF, 2024)</w:t>
      </w:r>
      <w:r w:rsidR="002F3694" w:rsidRPr="00544AF7">
        <w:rPr>
          <w:rFonts w:cstheme="minorHAnsi"/>
        </w:rPr>
        <w:fldChar w:fldCharType="end"/>
      </w:r>
      <w:r w:rsidR="00AC0A5A" w:rsidRPr="00544AF7">
        <w:rPr>
          <w:rFonts w:cstheme="minorHAnsi"/>
        </w:rPr>
        <w:t xml:space="preserve"> </w:t>
      </w:r>
      <w:r w:rsidR="002F3694" w:rsidRPr="00544AF7">
        <w:rPr>
          <w:rFonts w:cstheme="minorHAnsi"/>
        </w:rPr>
        <w:t>.</w:t>
      </w:r>
      <w:r w:rsidR="00996F93" w:rsidRPr="00544AF7">
        <w:rPr>
          <w:rFonts w:cstheme="minorHAnsi"/>
        </w:rPr>
        <w:t xml:space="preserve"> D’un autre côté, il est possible de baser la définition d’une PA selon des critères fonctionnels ou médicaux. Ce prisme prend en compte le déclin fonctionnel et la perte d’autonomie d’une personne qui varie d’un individu à un autre</w:t>
      </w:r>
      <w:r w:rsidR="00AC0A5A">
        <w:rPr>
          <w:rFonts w:cstheme="minorHAnsi"/>
        </w:rPr>
        <w:t xml:space="preserve"> </w:t>
      </w:r>
      <w:r w:rsidR="00AC0A5A">
        <w:rPr>
          <w:rFonts w:cstheme="minorHAnsi"/>
        </w:rPr>
        <w:fldChar w:fldCharType="begin"/>
      </w:r>
      <w:r w:rsidR="00AC0A5A">
        <w:rPr>
          <w:rFonts w:cstheme="minorHAnsi"/>
        </w:rPr>
        <w:instrText xml:space="preserve"> ADDIN ZOTERO_ITEM CSL_CITATION {"citationID":"Xx7ROdYa","properties":{"formattedCitation":"({\\i{}WHO - Definition of An Older or Elderly Person}, 2024)","plainCitation":"(WHO - Definition of An Older or Elderly Person, 2024)","noteIndex":0},"citationItems":[{"id":291,"uris":["http://zotero.org/users/10583480/items/UG58INNQ"],"itemData":{"id":291,"type":"webpage","abstract":"1. There is no agreed upon definition of old age internationally or in Africa specifically. While some developed countries use 65 years, the UN uses 60+ years. \n2. For their study, the authors settled on a definition of 50+ years for Africa to better reflect the realities of aging there, though acknowledged it is still somewhat arbitrary. \n3. Definitions of old age vary and can include chronological age, changes in social roles and work, and changes in capabilities due to health. A combination of factors is likely most appropriate for defining old age in Africa.","language":"fr","title":"WHO - Definition of An Older or Elderly Person","URL":"https://www.scribd.com/document/190077600/WHO-Definition-of-an-Older-or-Elderly-Person","accessed":{"date-parts":[["2024",12,16]]},"issued":{"date-parts":[["2024",12,16]]}}}],"schema":"https://github.com/citation-style-language/schema/raw/master/csl-citation.json"} </w:instrText>
      </w:r>
      <w:r w:rsidR="00AC0A5A">
        <w:rPr>
          <w:rFonts w:cstheme="minorHAnsi"/>
        </w:rPr>
        <w:fldChar w:fldCharType="separate"/>
      </w:r>
      <w:r w:rsidR="00AC0A5A" w:rsidRPr="00AC0A5A">
        <w:rPr>
          <w:rFonts w:ascii="Calibri" w:cs="Calibri"/>
        </w:rPr>
        <w:t>(</w:t>
      </w:r>
      <w:r w:rsidR="00AC0A5A" w:rsidRPr="00AC0A5A">
        <w:rPr>
          <w:rFonts w:ascii="Calibri" w:cs="Calibri"/>
          <w:i/>
          <w:iCs/>
        </w:rPr>
        <w:t xml:space="preserve">WHO - </w:t>
      </w:r>
      <w:proofErr w:type="spellStart"/>
      <w:r w:rsidR="00AC0A5A" w:rsidRPr="00AC0A5A">
        <w:rPr>
          <w:rFonts w:ascii="Calibri" w:cs="Calibri"/>
          <w:i/>
          <w:iCs/>
        </w:rPr>
        <w:t>Definition</w:t>
      </w:r>
      <w:proofErr w:type="spellEnd"/>
      <w:r w:rsidR="00AC0A5A" w:rsidRPr="00AC0A5A">
        <w:rPr>
          <w:rFonts w:ascii="Calibri" w:cs="Calibri"/>
          <w:i/>
          <w:iCs/>
        </w:rPr>
        <w:t xml:space="preserve"> of An </w:t>
      </w:r>
      <w:proofErr w:type="spellStart"/>
      <w:r w:rsidR="00AC0A5A" w:rsidRPr="00AC0A5A">
        <w:rPr>
          <w:rFonts w:ascii="Calibri" w:cs="Calibri"/>
          <w:i/>
          <w:iCs/>
        </w:rPr>
        <w:t>Older</w:t>
      </w:r>
      <w:proofErr w:type="spellEnd"/>
      <w:r w:rsidR="00AC0A5A" w:rsidRPr="00AC0A5A">
        <w:rPr>
          <w:rFonts w:ascii="Calibri" w:cs="Calibri"/>
          <w:i/>
          <w:iCs/>
        </w:rPr>
        <w:t xml:space="preserve"> or </w:t>
      </w:r>
      <w:proofErr w:type="spellStart"/>
      <w:r w:rsidR="00AC0A5A" w:rsidRPr="00AC0A5A">
        <w:rPr>
          <w:rFonts w:ascii="Calibri" w:cs="Calibri"/>
          <w:i/>
          <w:iCs/>
        </w:rPr>
        <w:t>Elderly</w:t>
      </w:r>
      <w:proofErr w:type="spellEnd"/>
      <w:r w:rsidR="00AC0A5A" w:rsidRPr="00AC0A5A">
        <w:rPr>
          <w:rFonts w:ascii="Calibri" w:cs="Calibri"/>
          <w:i/>
          <w:iCs/>
        </w:rPr>
        <w:t xml:space="preserve"> Person</w:t>
      </w:r>
      <w:r w:rsidR="00AC0A5A" w:rsidRPr="00AC0A5A">
        <w:rPr>
          <w:rFonts w:ascii="Calibri" w:cs="Calibri"/>
        </w:rPr>
        <w:t>, 2024)</w:t>
      </w:r>
      <w:r w:rsidR="00AC0A5A">
        <w:rPr>
          <w:rFonts w:cstheme="minorHAnsi"/>
        </w:rPr>
        <w:fldChar w:fldCharType="end"/>
      </w:r>
      <w:r w:rsidR="00996F93" w:rsidRPr="00544AF7">
        <w:rPr>
          <w:rFonts w:cstheme="minorHAnsi"/>
        </w:rPr>
        <w:t xml:space="preserve">. Il existe aussi des définitions </w:t>
      </w:r>
      <w:r w:rsidR="00D42005" w:rsidRPr="00544AF7">
        <w:rPr>
          <w:rFonts w:cstheme="minorHAnsi"/>
        </w:rPr>
        <w:t>plus subjectives se basant sur le sentiment d’un individu à vieillir ou non en fonction des retentisse</w:t>
      </w:r>
      <w:r w:rsidR="00821A0B">
        <w:rPr>
          <w:rFonts w:cstheme="minorHAnsi"/>
        </w:rPr>
        <w:t>ments</w:t>
      </w:r>
      <w:r w:rsidR="00D42005" w:rsidRPr="00544AF7">
        <w:rPr>
          <w:rFonts w:cstheme="minorHAnsi"/>
        </w:rPr>
        <w:t xml:space="preserve"> du vieillissement sur sa vie quotidienne</w:t>
      </w:r>
      <w:r w:rsidR="00AC0A5A">
        <w:rPr>
          <w:rFonts w:cstheme="minorHAnsi"/>
        </w:rPr>
        <w:t xml:space="preserve"> </w:t>
      </w:r>
      <w:r w:rsidR="00AC0A5A">
        <w:rPr>
          <w:rFonts w:cstheme="minorHAnsi"/>
        </w:rPr>
        <w:fldChar w:fldCharType="begin"/>
      </w:r>
      <w:r w:rsidR="00AC0A5A">
        <w:rPr>
          <w:rFonts w:cstheme="minorHAnsi"/>
        </w:rPr>
        <w:instrText xml:space="preserve"> ADDIN ZOTERO_ITEM CSL_CITATION {"citationID":"nANJ73Lc","properties":{"formattedCitation":"({\\i{}Bien vieillir}, 2024)","plainCitation":"(Bien vieillir, 2024)","noteIndex":0},"citationItems":[{"id":275,"uris":["http://zotero.org/users/10583480/items/D5NW3PRN"],"itemData":{"id":275,"type":"webpage","abstract":"Les plus de 60 ans pourraient repr&amp;eacute;senter 1/3 de la population en 2050. La priorit&amp;eacute; aujourd&amp;rsquo;hui n&amp;rsquo;est plus d&amp;rsquo;allonger la dur&amp;eacute;e de la vie mais d&amp;rsquo;am&amp;eacute;liorer la qualit&amp;eacute; de vie des personnes vieilli...","language":"fr","title":"Bien vieillir","URL":"https://www.santepubliquefrance.fr/la-sante-a-tout-age2/bien-vieillir","accessed":{"date-parts":[["2024",9,24]]},"issued":{"date-parts":[["2024",9,24]]}}}],"schema":"https://github.com/citation-style-language/schema/raw/master/csl-citation.json"} </w:instrText>
      </w:r>
      <w:r w:rsidR="00AC0A5A">
        <w:rPr>
          <w:rFonts w:cstheme="minorHAnsi"/>
        </w:rPr>
        <w:fldChar w:fldCharType="separate"/>
      </w:r>
      <w:r w:rsidR="00AC0A5A" w:rsidRPr="00AC0A5A">
        <w:rPr>
          <w:rFonts w:ascii="Calibri" w:cs="Calibri"/>
        </w:rPr>
        <w:t>(</w:t>
      </w:r>
      <w:r w:rsidR="00AC0A5A" w:rsidRPr="00AC0A5A">
        <w:rPr>
          <w:rFonts w:ascii="Calibri" w:cs="Calibri"/>
          <w:i/>
          <w:iCs/>
        </w:rPr>
        <w:t>Bien vieillir</w:t>
      </w:r>
      <w:r w:rsidR="00AC0A5A" w:rsidRPr="00AC0A5A">
        <w:rPr>
          <w:rFonts w:ascii="Calibri" w:cs="Calibri"/>
        </w:rPr>
        <w:t>, 2024)</w:t>
      </w:r>
      <w:r w:rsidR="00AC0A5A">
        <w:rPr>
          <w:rFonts w:cstheme="minorHAnsi"/>
        </w:rPr>
        <w:fldChar w:fldCharType="end"/>
      </w:r>
      <w:r w:rsidR="00D42005" w:rsidRPr="00544AF7">
        <w:rPr>
          <w:rFonts w:cstheme="minorHAnsi"/>
        </w:rPr>
        <w:t xml:space="preserve">. </w:t>
      </w:r>
    </w:p>
    <w:p w14:paraId="6BFCDA65" w14:textId="77777777" w:rsidR="00C561A9" w:rsidRDefault="00C561A9" w:rsidP="001C18E0">
      <w:pPr>
        <w:spacing w:line="360" w:lineRule="auto"/>
        <w:ind w:firstLine="397"/>
        <w:jc w:val="both"/>
        <w:rPr>
          <w:rFonts w:cstheme="minorHAnsi"/>
        </w:rPr>
      </w:pPr>
    </w:p>
    <w:p w14:paraId="64B09BB2" w14:textId="49448AE2" w:rsidR="001C18E0" w:rsidRPr="001C18E0" w:rsidRDefault="00885349" w:rsidP="001C18E0">
      <w:pPr>
        <w:pStyle w:val="Titre2"/>
        <w:spacing w:line="360" w:lineRule="auto"/>
        <w:jc w:val="both"/>
      </w:pPr>
      <w:bookmarkStart w:id="6" w:name="_Toc221704608"/>
      <w:r>
        <w:t>Le vieillissement</w:t>
      </w:r>
      <w:bookmarkEnd w:id="6"/>
    </w:p>
    <w:p w14:paraId="040B0170" w14:textId="045BD888" w:rsidR="001C18E0" w:rsidRPr="001C18E0" w:rsidRDefault="00EB0550" w:rsidP="001C18E0">
      <w:pPr>
        <w:pStyle w:val="Titre3"/>
        <w:spacing w:line="360" w:lineRule="auto"/>
        <w:jc w:val="both"/>
      </w:pPr>
      <w:bookmarkStart w:id="7" w:name="_Toc221704609"/>
      <w:r>
        <w:t>La physiologie du vieillissement</w:t>
      </w:r>
      <w:bookmarkEnd w:id="7"/>
      <w:r>
        <w:t xml:space="preserve"> </w:t>
      </w:r>
    </w:p>
    <w:p w14:paraId="1126A207" w14:textId="4207C4F7" w:rsidR="00A01A45" w:rsidRDefault="00A01A45" w:rsidP="001C18E0">
      <w:pPr>
        <w:spacing w:line="360" w:lineRule="auto"/>
        <w:jc w:val="both"/>
      </w:pPr>
      <w:r>
        <w:tab/>
        <w:t>Le vieillissement est défini comme un processus biologique et universel provoquant une réduction des capacités des systèmes composants l’organisme. Le vieillissement n’est pas considéré comme une pathologie mais il représente un facteur de fragilité chez la personne âgée</w:t>
      </w:r>
      <w:r w:rsidR="00BB47CF">
        <w:t xml:space="preserve"> </w:t>
      </w:r>
      <w:r w:rsidR="00BB47CF">
        <w:fldChar w:fldCharType="begin"/>
      </w:r>
      <w:r w:rsidR="00BB47CF">
        <w:instrText xml:space="preserve"> ADDIN ZOTERO_ITEM CSL_CITATION {"citationID":"7QYV6Vvv","properties":{"formattedCitation":"(Jeandel, 2005)","plainCitation":"(Jeandel, 2005)","noteIndex":0},"citationItems":[{"id":241,"uris":["http://zotero.org/users/10583480/items/PT48LGZ6"],"itemData":{"id":241,"type":"article-journal","container-title":"Les Tribunes de la santé","DOI":"10.3917/seve.007.35","ISSN":"1765-8888","issue":"2","language":"fr","note":"publisher: Presses de Sciences Po\nsection: Psychologie","page":"25-35","source":"shs.cairn.info","title":"Les différents parcours du vieillissement","volume":"7","author":[{"family":"Jeandel","given":"Claude"}],"issued":{"date-parts":[["2005"]]}}}],"schema":"https://github.com/citation-style-language/schema/raw/master/csl-citation.json"} </w:instrText>
      </w:r>
      <w:r w:rsidR="00BB47CF">
        <w:fldChar w:fldCharType="separate"/>
      </w:r>
      <w:r w:rsidR="00BB47CF">
        <w:rPr>
          <w:noProof/>
        </w:rPr>
        <w:t>(Jeandel, 2005)</w:t>
      </w:r>
      <w:r w:rsidR="00BB47CF">
        <w:fldChar w:fldCharType="end"/>
      </w:r>
      <w:r w:rsidR="00BB47CF">
        <w:t>.</w:t>
      </w:r>
      <w:r w:rsidR="00C90E85">
        <w:t xml:space="preserve"> La fragilité est définie comme un syndrome clinique marqué par une diminution des capacités fonctionnelles d’un individu. Cet état réduit la résistance du patient face aux facteurs de stress et augmente son risque de décompensation </w:t>
      </w:r>
      <w:r w:rsidR="00C90E85">
        <w:fldChar w:fldCharType="begin"/>
      </w:r>
      <w:r w:rsidR="00C90E85">
        <w:instrText xml:space="preserve"> ADDIN ZOTERO_ITEM CSL_CITATION {"citationID":"t8PNbukM","properties":{"formattedCitation":"(Lee et al., 2015)","plainCitation":"(Lee et al., 2015)","noteIndex":0},"citationItems":[{"id":570,"uris":["http://zotero.org/users/10583480/items/6EUX3MXW"],"itemData":{"id":570,"type":"article-journal","abstract":"Objectif\nAider les médecins de famille à mieux reconnaître la fragilité et ses répercussions sur la prise en charge des patients âgés.\n\nSources des données\nUne recension a été effectuée dans PubMed-MEDLINE de 1990 à 2013 pour trouver des articles rédigés en anglais exclusivement, à l’aide des groupes suivants de mots clés et d’en-têtes MeSH : frail elderly, frail, frailty; aged, geriatrics, geriatric assessment, health services for the aged; primary health care, community health services et family practice.\n\nMessage principal\nLa fragilité est fréquente, en particulier chez les personnes âgées atteintes de maladies chroniques complexes comme l’insuffisance cardiaque et la bronchopneumopathie chronique obstructive. De nouvelles données probantes démontrent l’importance de la fragilité comme facteur de prédiction d’issues indésirables chez les personnes plus âgées. Quoiqu’on ne s’entende actuellement pas sur les meilleures façons d’évaluer et de diagnostiquer la fragilité en soins primaires, des marqueurs individuels de la fragilité comme la lenteur de la démarche offrent des moyens pratiques prometteurs de dépister la fragilité. La détection de la fragilité en soins primaires peut offrir la possibilité de retarder la progression de la fragilité au moyen d’interventions proactives comme l’exercice. La reconnaissance de l’existence de la fragilité peut orienter un counseling approprié et la prise de mesures préventives anticipatoires pour les patients lorsqu’on envisage des interventions médicales. Elle peut aussi aider à cerner des problèmes concomitants qui contribuent à la fragilité et l’influencent et à en optimiser la prise en charge. Les recherches futures devraient se pencher sur la détermination de moyens pratiques et efficaces pour évaluer et prendre en charge de manière appropriée ces patients vulnérables au niveau des soins primaires.\n\nConclusion\nEn dépit de son importance, on a accordé peu d’attention au concept de la fragilité en médecine familiale. La fragilité peut aisément passer inaperçue parce que ses manifestations sont souvent subtiles, de progression lente et, par conséquent, elle peut être méprise pour un vieillissement normal. La formation des médecins a insisté sur des maladies médicales spécifiques plutôt que sur la vulnérabilité globale. Pour les médecins en soins primaires, la reconnaissance de la fragilité peut les aider à offrir un counseling approprié aux patients et aux membres de leur famille au sujet des risques des interventions médicales.","container-title":"Canadian Family Physician","ISSN":"0008-350X","issue":"3","journalAbbreviation":"Can Fam Physician","note":"PMID: null\nPMCID: PMC4369627","page":"e119-e124","source":"PubMed Central","title":"La fragilité","volume":"61","author":[{"family":"Lee","given":"Linda"},{"family":"Heckman","given":"George"},{"family":"Molnar","given":"Frank J."}],"issued":{"date-parts":[["2015",3]]}}}],"schema":"https://github.com/citation-style-language/schema/raw/master/csl-citation.json"} </w:instrText>
      </w:r>
      <w:r w:rsidR="00C90E85">
        <w:fldChar w:fldCharType="separate"/>
      </w:r>
      <w:r w:rsidR="00C90E85">
        <w:rPr>
          <w:noProof/>
        </w:rPr>
        <w:t>(Lee et al., 2015)</w:t>
      </w:r>
      <w:r w:rsidR="00C90E85">
        <w:fldChar w:fldCharType="end"/>
      </w:r>
      <w:r w:rsidR="00C90E85">
        <w:t>.</w:t>
      </w:r>
    </w:p>
    <w:p w14:paraId="062B4269" w14:textId="6CB451A3" w:rsidR="00D87C43" w:rsidRDefault="00BB47CF" w:rsidP="001C18E0">
      <w:pPr>
        <w:spacing w:line="360" w:lineRule="auto"/>
        <w:jc w:val="both"/>
      </w:pPr>
      <w:r>
        <w:tab/>
      </w:r>
      <w:r w:rsidR="00414E3F">
        <w:t>Le vieillissement n’est pas homogène, il existe plusieurs « types » de vieillissement</w:t>
      </w:r>
      <w:r w:rsidR="00C90E85">
        <w:t xml:space="preserve">. Cela signifie qu’il existe différentes évolutions en fonction des caractéristiques de chaque individu </w:t>
      </w:r>
      <w:r w:rsidR="00414E3F">
        <w:fldChar w:fldCharType="begin"/>
      </w:r>
      <w:r w:rsidR="00414E3F">
        <w:instrText xml:space="preserve"> ADDIN ZOTERO_ITEM CSL_CITATION {"citationID":"8lBfRfDT","properties":{"formattedCitation":"(Guillermain, 2022)","plainCitation":"(Guillermain, 2022)","noteIndex":0},"citationItems":[{"id":498,"uris":["http://zotero.org/users/10583480/items/ND48RRG7"],"itemData":{"id":498,"type":"article-journal","abstract":"The starting point of this PhD in philosophy of science is human aging, a phenomenon that can be approached from (at least) two distinct perspectives: a subjective, even existential, and social approach, on the one hand – aging is then considered as a lived experience – and an organic approach, on the other, from which aging is essentially apprehended as an embodied, physiological process. This second perspective is notably that of contemporary aging biology, which constitutes our object of study. It is based on an essentially experimental and mechanistic approach to the phenomenon. It is also a particularly complex, varied and fragmented field, which relies on many theories and diverse (and sometimes controversial) research hypotheses. The main objective of this PhD is therefore to answer the following questions: is there one biology of aging? What are, if any, its characteristics and structuring elements? To do so, our work is mainly based on a broad review of the scientific literature published in the biology of aging over the last two decades, of which we propose an epistemological and conceptual analysis. A second, exclusively philosophical, corpus is used to better apprehend its relevant characteristics and components and to further elaborate our reflection.","language":"fr","source":"Zotero","title":"Le vieillissement humain : penser un phénomène physiologique à la lumière de la biologie contemporaine","author":[{"family":"Guillermain","given":"Clémence"}],"issued":{"date-parts":[["2022"]]}}}],"schema":"https://github.com/citation-style-language/schema/raw/master/csl-citation.json"} </w:instrText>
      </w:r>
      <w:r w:rsidR="00414E3F">
        <w:fldChar w:fldCharType="separate"/>
      </w:r>
      <w:r w:rsidR="00414E3F">
        <w:rPr>
          <w:noProof/>
        </w:rPr>
        <w:t>(Guillermain, 2022)</w:t>
      </w:r>
      <w:r w:rsidR="00414E3F">
        <w:fldChar w:fldCharType="end"/>
      </w:r>
      <w:r w:rsidR="00414E3F">
        <w:t>. Lorsqu’on s’intéresse au vieillissement à l’échelle individuel, on distingue trois modes d’évolution : le vieillissement usuel, le vieillissement réussi et le vieillissement pathologique.</w:t>
      </w:r>
    </w:p>
    <w:p w14:paraId="00485600" w14:textId="5EC3E5E8" w:rsidR="00111CAC" w:rsidRDefault="00111CAC" w:rsidP="001C18E0">
      <w:pPr>
        <w:pStyle w:val="Paragraphedeliste"/>
        <w:numPr>
          <w:ilvl w:val="0"/>
          <w:numId w:val="12"/>
        </w:numPr>
        <w:spacing w:line="360" w:lineRule="auto"/>
        <w:jc w:val="both"/>
      </w:pPr>
      <w:r>
        <w:t xml:space="preserve">Le vieillissement physiologique ou usuel correspond à l’évolution dite naturelle de l’organisme qui se traduit par une diminution lente et progressive des fonctions biologiques tout en permettant une autonomie prolongée. Il représente le vieillissement le plus fréquemment rencontrée et conduit néanmoins à la fragilité de l’individu au long terme </w:t>
      </w:r>
      <w:r>
        <w:fldChar w:fldCharType="begin"/>
      </w:r>
      <w:r>
        <w:instrText xml:space="preserve"> ADDIN ZOTERO_ITEM CSL_CITATION {"citationID":"u8FMM0VL","properties":{"formattedCitation":"(Tubiana, 2002)","plainCitation":"(Tubiana, 2002)","noteIndex":0},"citationItems":[{"id":238,"uris":["http://zotero.org/users/10583480/items/TSPMIDYX"],"itemData":{"id":238,"type":"article-journal","abstract":"Physical health is affected by physiological aging that impacts on all tissues and organs, notably sensorial systems (hearing, sight), the locomotory and the immunological systems (lowering of resistance to infections). There is an increase with age in the incidence of many cancers (particularly breast, prostate, and colon cancers) and cardiovascular diseases. Regular check-ups are useful in order to take appropriate measures in time. It is important that people maintain regular physical activity and a balanced diet even up to an advanced age and the elderly must learn to adapt themselves to the ever-changing abilities of their organism. It is possible to slow down the aging process through good hygiene and often to maintain autonomy until the end of life. Mental health is threatened by impairment of mental functions, depressive tendencies, and the risk of senile dementia that cannot be foreseen or avoided. It appears that keeping intellectually active and having a good level of education impact favorably on mental aging. Social health depends, for a large part, on the way society accepts and treats the elderly. They must be kept integrated into society and allowed to live at home for as long as possible. Any measures of rejection, discrimination, and exclusion should be opposed. The dignity of the elderly must be respected and activities giving them a feeling of usefulness should be encouraged. It is important to help families who care for their parents at home, to develop and evaluate healthcare networks, and encourage medical professionals and social services to work together. The change in the demographic structure of France is a considerable phenomenon requiring a long-term strategy and not only superficial and cosmetic measures.\nRésumé\nLe vieillissement altère progressivement tous les aspects de la santé. La santé physique est atteinte par la sénescence physiologique, qui touche tous les tissus et organes, notamment les systèmes sensoriels (ouïe, vue), le système locomoteur, le système immunologique (baisse de la résistance contre les infections). On observe aussi une augmentation avec l’âge de la fréquence de nombreux cancers (notamment sein et prostate, colo-rectaux) et des maladies cardiovasculaires. Des bilans réguliers sont nécessaires pour prendre à temps les mesures utiles. Il faut maintenir une activité physique régulière et une alimentation équilibrée jusqu’à un âge avancé et habituer la personne âgée à s’adapter aux capacités constamment changeantes de son organisme. Il est possible, en observant des règles d’hygiène, de ralentir le processus de vieillissement et souvent de maintenir une autonomie jusqu’à la période ultime de la vie. La santé mentale est menacée par la baisse des capacités intellectuelles, des tendances dépressives, et le risque de démences séniles, que l’on ne peut ni prévoir ni éviter. Il apparaît que le maintien d’une activité intellectuelle et un bon niveau d’instruction ont une influence favorable sur le vieillissement intellectuel. La santé sociale dépend, dans une large mesure, de la façon dont la société accepte et considère les personnes âgées. Il faut garder celles-ci le plus longtemps possible intégrées dans la société et à leur domicile et s’opposer à toutes mesures de rejet, de discrimination et d’exclusion. Il faut respecter la dignité des personnes âgées et favoriser des activités leur donnant un sentiment d’utilité. Il faut aider les familles qui hébergent leurs parents, développer et évaluer les réseaux de soins, rapprocher les professions médicales et sociales. La modification de la structure démographique de la France est un phénomène considérable, qui nécessite une stratégie à long terme et qui ne peut se satisfaire d’une approche superficielle et cosmétique.","collection-title":"Longevite et vieillissement","container-title":"Comptes Rendus Biologies","DOI":"10.1016/S1631-0691(02)01482-8","ISSN":"1631-0691","issue":"6","journalAbbreviation":"Comptes Rendus Biologies","page":"699-717","source":"ScienceDirect","title":"Le vieillissement : aspects médicaux et sociaux","title-short":"Le vieillissement","volume":"325","author":[{"family":"Tubiana","given":"Maurice"}],"issued":{"date-parts":[["2002",6,1]]}}}],"schema":"https://github.com/citation-style-language/schema/raw/master/csl-citation.json"} </w:instrText>
      </w:r>
      <w:r>
        <w:fldChar w:fldCharType="separate"/>
      </w:r>
      <w:r>
        <w:rPr>
          <w:noProof/>
        </w:rPr>
        <w:t>(Tubiana, 2002)</w:t>
      </w:r>
      <w:r>
        <w:fldChar w:fldCharType="end"/>
      </w:r>
      <w:r>
        <w:t>.</w:t>
      </w:r>
    </w:p>
    <w:p w14:paraId="4D196BB8" w14:textId="77777777" w:rsidR="00D87C43" w:rsidRDefault="00D87C43" w:rsidP="001C18E0">
      <w:pPr>
        <w:pStyle w:val="Paragraphedeliste"/>
        <w:spacing w:line="360" w:lineRule="auto"/>
        <w:jc w:val="both"/>
      </w:pPr>
    </w:p>
    <w:p w14:paraId="62E22968" w14:textId="65C38157" w:rsidR="005F1C34" w:rsidRDefault="00D87C43" w:rsidP="001C18E0">
      <w:pPr>
        <w:pStyle w:val="Paragraphedeliste"/>
        <w:numPr>
          <w:ilvl w:val="0"/>
          <w:numId w:val="12"/>
        </w:numPr>
        <w:spacing w:line="360" w:lineRule="auto"/>
        <w:jc w:val="both"/>
      </w:pPr>
      <w:r>
        <w:t xml:space="preserve">Le vieillissement réussi est marqué par une conservation ou une diminution non-significative des capacités fonctionnelles. Ce mode d’évolution est influé par des facteurs protecteurs tels </w:t>
      </w:r>
      <w:r>
        <w:lastRenderedPageBreak/>
        <w:t xml:space="preserve">que l’activité physique régulière, une alimentation équilibrée, la stimulation cognitive prolongée et le lien social conservé </w:t>
      </w:r>
      <w:r>
        <w:fldChar w:fldCharType="begin"/>
      </w:r>
      <w:r>
        <w:instrText xml:space="preserve"> ADDIN ZOTERO_ITEM CSL_CITATION {"citationID":"7we05uUY","properties":{"formattedCitation":"(Rowe &amp; Kahn, 1997)","plainCitation":"(Rowe &amp; Kahn, 1997)","noteIndex":0},"citationItems":[{"id":499,"uris":["http://zotero.org/users/10583480/items/KEEF926G"],"itemData":{"id":499,"type":"article-journal","abstract":"Substantial increases in the relative and absolute number of older persons in our society pose a challenge for biology, social and behavioral science, and medicine. Successful aging is multidimensional, encompassing the avoidance of disease and disability, the maintenance of high physical and cognitive function, and sustained engagement in social and productive activities. Research has identified factors predictive of success in these critical domains. The stage is set for intervention studies to enhance the proportion of our population aging successfully.","container-title":"The Gerontologist","DOI":"10.1093/geront/37.4.433","ISSN":"0016-9013","issue":"4","journalAbbreviation":"Gerontologist","language":"eng","note":"PMID: 9279031","page":"433-440","source":"PubMed","title":"Successful aging","volume":"37","author":[{"family":"Rowe","given":"J. W."},{"family":"Kahn","given":"R. L."}],"issued":{"date-parts":[["1997",8]]}}}],"schema":"https://github.com/citation-style-language/schema/raw/master/csl-citation.json"} </w:instrText>
      </w:r>
      <w:r>
        <w:fldChar w:fldCharType="separate"/>
      </w:r>
      <w:r>
        <w:rPr>
          <w:noProof/>
        </w:rPr>
        <w:t>(Rowe &amp; Kahn, 1997)</w:t>
      </w:r>
      <w:r>
        <w:fldChar w:fldCharType="end"/>
      </w:r>
      <w:r>
        <w:t>.</w:t>
      </w:r>
    </w:p>
    <w:p w14:paraId="280AE3BA" w14:textId="77777777" w:rsidR="005F1C34" w:rsidRDefault="005F1C34" w:rsidP="001C18E0">
      <w:pPr>
        <w:pStyle w:val="Paragraphedeliste"/>
        <w:spacing w:line="360" w:lineRule="auto"/>
        <w:jc w:val="both"/>
      </w:pPr>
    </w:p>
    <w:p w14:paraId="035E6F27" w14:textId="24391665" w:rsidR="006F6C6C" w:rsidRDefault="005F1C34" w:rsidP="006F6C6C">
      <w:pPr>
        <w:pStyle w:val="Paragraphedeliste"/>
        <w:numPr>
          <w:ilvl w:val="0"/>
          <w:numId w:val="12"/>
        </w:numPr>
        <w:spacing w:line="360" w:lineRule="auto"/>
        <w:jc w:val="both"/>
      </w:pPr>
      <w:r>
        <w:t>Le vieillissement p</w:t>
      </w:r>
      <w:r w:rsidR="00C90E85">
        <w:t>athologique</w:t>
      </w:r>
      <w:r>
        <w:t xml:space="preserve"> désigne un vieillissement impacté par une ou plusieurs morbidités</w:t>
      </w:r>
      <w:r w:rsidR="00C90E85">
        <w:t xml:space="preserve"> telles que la démence, l’arthrose, les lombalgies et bien d’autres</w:t>
      </w:r>
      <w:r>
        <w:t xml:space="preserve">. Elles accélèrent le processus de décompensation et amplifient le risque de perte d’autonomie et de fragilité </w:t>
      </w:r>
      <w:r w:rsidR="00D56F89">
        <w:fldChar w:fldCharType="begin"/>
      </w:r>
      <w:r w:rsidR="00D56F89">
        <w:instrText xml:space="preserve"> ADDIN ZOTERO_ITEM CSL_CITATION {"citationID":"g0geKS0K","properties":{"formattedCitation":"(Guilbaud et al., 2020)","plainCitation":"(Guilbaud et al., 2020)","noteIndex":0},"citationItems":[{"id":246,"uris":["http://zotero.org/users/10583480/items/CRVAJTQD"],"itemData":{"id":246,"type":"article-journal","abstract":"Le vieillissement est un événement physiologique qui commence très tôt dans la vie. L’âge civil, qui nous est donné, ne reflète cependant pas notre âge physiologique. Le vieillissement peut s’accélérer selon nos habitudes de vie. C’est à partir de l’âge de 30 ans que l’on constate une diminution du fonctionnement de nos organes. Le vieillissement conduit ainsi vers 3 états : robuste, polypathologique et dépendant, ou fragile. L’état de fragilité est réversible. Afin de « bien vieillir », il est donc nécessaire d’être acteur de son vieillissement et non plus de le subir. Les centenaires des « zones bleues » qui, culturellement, ont réalisé un vieillissement actif, sont un exemple de vieillissement réussi et donc du « bien vieillir.","container-title":"médecine/sciences","DOI":"10.1051/medsci/2020224","ISSN":"0767-0974, 1958-5381","issue":"12","journalAbbreviation":"Med Sci (Paris)","language":"fr","license":"© 2020 médecine/sciences – Inserm","note":"number: 12\npublisher: EDP Sciences","page":"1173-1180","source":"www.medecinesciences.org","title":"Vieillissement - Une approche globale, multidimensionnelle et préventive","volume":"36","author":[{"family":"Guilbaud","given":"Axel"},{"family":"Mailliez","given":"Aurélie"},{"family":"Boulanger","given":"Éric"}],"issued":{"date-parts":[["2020",12,1]]}}}],"schema":"https://github.com/citation-style-language/schema/raw/master/csl-citation.json"} </w:instrText>
      </w:r>
      <w:r w:rsidR="00D56F89">
        <w:fldChar w:fldCharType="separate"/>
      </w:r>
      <w:r w:rsidR="00D56F89">
        <w:rPr>
          <w:noProof/>
        </w:rPr>
        <w:t>(Guilbaud et al., 2020)</w:t>
      </w:r>
      <w:r w:rsidR="00D56F89">
        <w:fldChar w:fldCharType="end"/>
      </w:r>
      <w:r w:rsidR="00D56F89">
        <w:t>.</w:t>
      </w:r>
    </w:p>
    <w:p w14:paraId="46C15063" w14:textId="001D4CC7" w:rsidR="000A4F30" w:rsidRDefault="006F6C6C" w:rsidP="006F6C6C">
      <w:pPr>
        <w:spacing w:line="360" w:lineRule="auto"/>
        <w:jc w:val="both"/>
        <w:rPr>
          <w:rStyle w:val="citation-858"/>
          <w:color w:val="000000"/>
        </w:rPr>
      </w:pPr>
      <w:r>
        <w:rPr>
          <w:rStyle w:val="citation-860"/>
          <w:color w:val="000000"/>
        </w:rPr>
        <w:t xml:space="preserve">Si le vieillissement est un processus biologique global réduisant les capacités de </w:t>
      </w:r>
      <w:r>
        <w:rPr>
          <w:rStyle w:val="citation-860"/>
          <w:color w:val="000000"/>
        </w:rPr>
        <w:t>l’organisme,</w:t>
      </w:r>
      <w:r>
        <w:rPr>
          <w:rStyle w:val="citation-859"/>
          <w:color w:val="000000"/>
        </w:rPr>
        <w:t xml:space="preserve"> il se manifeste de façon concrète par une dégradation ciblée des différents systèmes physiologiques</w:t>
      </w:r>
      <w:r>
        <w:rPr>
          <w:color w:val="000000"/>
        </w:rPr>
        <w:t>.</w:t>
      </w:r>
      <w:r>
        <w:rPr>
          <w:rStyle w:val="apple-converted-space"/>
          <w:color w:val="000000"/>
        </w:rPr>
        <w:t> </w:t>
      </w:r>
      <w:r>
        <w:rPr>
          <w:rStyle w:val="citation-858"/>
          <w:color w:val="000000"/>
        </w:rPr>
        <w:t xml:space="preserve">Ces altérations, qu'elles soient </w:t>
      </w:r>
      <w:r>
        <w:rPr>
          <w:rStyle w:val="citation-858"/>
          <w:color w:val="000000"/>
        </w:rPr>
        <w:t>musculosquelettiques</w:t>
      </w:r>
      <w:r>
        <w:rPr>
          <w:rStyle w:val="citation-858"/>
          <w:color w:val="000000"/>
        </w:rPr>
        <w:t>, nerveuses ou sensorielles, constituent la traduction physique de ce déclin et participent directement à l'installation de la fragilité chez le sujet âgé</w:t>
      </w:r>
      <w:r>
        <w:rPr>
          <w:rStyle w:val="citation-858"/>
          <w:color w:val="000000"/>
        </w:rPr>
        <w:t xml:space="preserve">. </w:t>
      </w:r>
    </w:p>
    <w:p w14:paraId="19AD5D23" w14:textId="77777777" w:rsidR="006F6C6C" w:rsidRDefault="006F6C6C" w:rsidP="006F6C6C">
      <w:pPr>
        <w:spacing w:line="360" w:lineRule="auto"/>
        <w:jc w:val="both"/>
      </w:pPr>
    </w:p>
    <w:p w14:paraId="57871533" w14:textId="3E14D26C" w:rsidR="000A4F30" w:rsidRPr="000A4F30" w:rsidRDefault="00885349" w:rsidP="001C18E0">
      <w:pPr>
        <w:pStyle w:val="Titre3"/>
        <w:spacing w:line="360" w:lineRule="auto"/>
        <w:jc w:val="both"/>
      </w:pPr>
      <w:bookmarkStart w:id="8" w:name="_Toc221704610"/>
      <w:r>
        <w:t xml:space="preserve">Les </w:t>
      </w:r>
      <w:r w:rsidR="006B5C70">
        <w:t>conséquences physiologiques</w:t>
      </w:r>
      <w:bookmarkEnd w:id="8"/>
      <w:r w:rsidR="006B5C70">
        <w:t xml:space="preserve">  </w:t>
      </w:r>
      <w:r w:rsidR="000A4F30">
        <w:t xml:space="preserve"> </w:t>
      </w:r>
    </w:p>
    <w:p w14:paraId="1A587041" w14:textId="5C2B7499" w:rsidR="000A4F30" w:rsidRPr="000A4F30" w:rsidRDefault="000A4F30" w:rsidP="001C18E0">
      <w:pPr>
        <w:pStyle w:val="Titre4"/>
        <w:spacing w:line="360" w:lineRule="auto"/>
        <w:jc w:val="both"/>
      </w:pPr>
      <w:r>
        <w:t xml:space="preserve">Le système </w:t>
      </w:r>
      <w:proofErr w:type="spellStart"/>
      <w:r>
        <w:t>musculo-squelettique</w:t>
      </w:r>
      <w:proofErr w:type="spellEnd"/>
      <w:r>
        <w:t xml:space="preserve"> </w:t>
      </w:r>
    </w:p>
    <w:p w14:paraId="726239F4" w14:textId="0A3EB4A3" w:rsidR="00111CAC" w:rsidRDefault="003F71B4" w:rsidP="001C18E0">
      <w:pPr>
        <w:spacing w:line="360" w:lineRule="auto"/>
        <w:jc w:val="both"/>
      </w:pPr>
      <w:r>
        <w:tab/>
        <w:t xml:space="preserve">Parmi les systèmes impactés par le vieillissement, le système </w:t>
      </w:r>
      <w:proofErr w:type="spellStart"/>
      <w:r>
        <w:t>musculo-squelettique</w:t>
      </w:r>
      <w:proofErr w:type="spellEnd"/>
      <w:r>
        <w:t xml:space="preserve"> l’est particulièrement. Il joue un rôle central dans la prévention des risques de chute. La sarcopénie est définie comme « la perte progressive et généralisée de la masse et de la force musculaire</w:t>
      </w:r>
      <w:r w:rsidR="00821A0B">
        <w:t>, qui</w:t>
      </w:r>
      <w:r>
        <w:t xml:space="preserve"> apparaît dès la cinquantaine et s’accélère avec l’âge » </w:t>
      </w:r>
      <w:r>
        <w:fldChar w:fldCharType="begin"/>
      </w:r>
      <w:r>
        <w:instrText xml:space="preserve"> ADDIN ZOTERO_ITEM CSL_CITATION {"citationID":"NVYzPNu2","properties":{"formattedCitation":"(Rivier et al., 2011)","plainCitation":"(Rivier et al., 2011)","noteIndex":0},"citationItems":[{"id":501,"uris":["http://zotero.org/users/10583480/items/DPQJHGJC"],"itemData":{"id":501,"type":"article-journal","abstract":"La Revue Médicale Suisse est la revue de formation continue de référence pour les médecins praticiens.","container-title":"Rev Med Suisse","issue":"18","language":"fr-CH","page":"1047-1048","source":"www.revmed.ch","title":"La sarcopénie : définition, méthodes de mesure, avenir thérapeutique","title-short":"La sarcopénie","volume":"294","author":[{"family":"Rivier","given":"Etienne"},{"family":"Krieg","given":"Marc-Antoine"},{"family":"Lamy","given":"Olivier"}],"issued":{"date-parts":[["2011",5,11]]}}}],"schema":"https://github.com/citation-style-language/schema/raw/master/csl-citation.json"} </w:instrText>
      </w:r>
      <w:r>
        <w:fldChar w:fldCharType="separate"/>
      </w:r>
      <w:r>
        <w:rPr>
          <w:noProof/>
        </w:rPr>
        <w:t>(Rivier et al., 2011)</w:t>
      </w:r>
      <w:r>
        <w:fldChar w:fldCharType="end"/>
      </w:r>
      <w:r>
        <w:t xml:space="preserve">. Elle est estimée </w:t>
      </w:r>
      <w:r w:rsidR="006F6C6C">
        <w:t>de</w:t>
      </w:r>
      <w:r>
        <w:t xml:space="preserve"> 1 à 2% de la masse musculaire par année après 50 ans. La masse musculaire étant prépondérante pour produire des réactions aux déséquilibre</w:t>
      </w:r>
      <w:r w:rsidR="00821A0B">
        <w:t>s</w:t>
      </w:r>
      <w:r>
        <w:t>, la sarcopénie joue un rôle majeur dans le maintien de l’équilibre et représente un facteur du risque de chute</w:t>
      </w:r>
      <w:r w:rsidR="008F74AF">
        <w:t xml:space="preserve"> (figure 1)</w:t>
      </w:r>
      <w:r>
        <w:t xml:space="preserve"> </w:t>
      </w:r>
      <w:r w:rsidR="00F35F00">
        <w:fldChar w:fldCharType="begin"/>
      </w:r>
      <w:r w:rsidR="00F35F00">
        <w:instrText xml:space="preserve"> ADDIN ZOTERO_ITEM CSL_CITATION {"citationID":"xdOx2d6B","properties":{"formattedCitation":"(Cruz-Jentoft et al., 2019)","plainCitation":"(Cruz-Jentoft et al., 2019)","noteIndex":0},"citationItems":[{"id":503,"uris":["http://zotero.org/users/10583480/items/QJEJXHVF"],"itemData":{"id":503,"type":"article-journal","abstract":"BACKGROUND: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findings.\nOBJECTIVES: to increase consistency of research design, clinical diagnoses and ultimately, care for people with sarcopenia.\nRECOMMENDATIONS: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sarcopenia.\nCONCLUSIONS: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systems.","container-title":"Age and Ageing","DOI":"10.1093/ageing/afy169","ISSN":"1468-2834","issue":"1","journalAbbreviation":"Age Ageing","language":"eng","note":"PMID: 30312372\nPMCID: PMC6322506","page":"16-31","source":"PubMed","title":"Sarcopenia: revised European consensus on definition and diagnosis","title-short":"Sarcopenia","volume":"48","author":[{"family":"Cruz-Jentoft","given":"Alfonso J."},{"family":"Bahat","given":"Gülistan"},{"family":"Bauer","given":"Jürgen"},{"family":"Boirie","given":"Yves"},{"family":"Bruyère","given":"Olivier"},{"family":"Cederholm","given":"Tommy"},{"family":"Cooper","given":"Cyrus"},{"family":"Landi","given":"Francesco"},{"family":"Rolland","given":"Yves"},{"family":"Sayer","given":"Avan Aihie"},{"family":"Schneider","given":"Stéphane M."},{"family":"Sieber","given":"Cornel C."},{"family":"Topinkova","given":"Eva"},{"family":"Vandewoude","given":"Maurits"},{"family":"Visser","given":"Marjolein"},{"family":"Zamboni","given":"Mauro"},{"literal":"Writing Group for the European Working Group on Sarcopenia in Older People 2 (EWGSOP2), and the Extended Group for EWGSOP2"}],"issued":{"date-parts":[["2019",1,1]]}}}],"schema":"https://github.com/citation-style-language/schema/raw/master/csl-citation.json"} </w:instrText>
      </w:r>
      <w:r w:rsidR="00F35F00">
        <w:fldChar w:fldCharType="separate"/>
      </w:r>
      <w:r w:rsidR="00F35F00">
        <w:rPr>
          <w:noProof/>
        </w:rPr>
        <w:t>(Cruz-Jentoft et al., 2019)</w:t>
      </w:r>
      <w:r w:rsidR="00F35F00">
        <w:fldChar w:fldCharType="end"/>
      </w:r>
      <w:r w:rsidR="00F35F00">
        <w:t>.</w:t>
      </w:r>
    </w:p>
    <w:p w14:paraId="7149812E" w14:textId="77777777" w:rsidR="00414F55" w:rsidRDefault="00414F55" w:rsidP="001C18E0">
      <w:pPr>
        <w:spacing w:line="360" w:lineRule="auto"/>
        <w:jc w:val="both"/>
      </w:pPr>
    </w:p>
    <w:p w14:paraId="49A6A9D7" w14:textId="33B09598" w:rsidR="00414F55" w:rsidRDefault="008F74AF" w:rsidP="00414F55">
      <w:pPr>
        <w:keepNext/>
        <w:spacing w:line="360" w:lineRule="auto"/>
        <w:jc w:val="both"/>
      </w:pPr>
      <w:r>
        <w:rPr>
          <w:noProof/>
        </w:rPr>
        <w:lastRenderedPageBreak/>
        <w:drawing>
          <wp:inline distT="0" distB="0" distL="0" distR="0" wp14:anchorId="1867AE21" wp14:editId="12521C2A">
            <wp:extent cx="6236368" cy="3741821"/>
            <wp:effectExtent l="0" t="0" r="0" b="5080"/>
            <wp:docPr id="1653388509" name="Image 2" descr="Une image contenant texte, diagramme,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88509" name="Image 2" descr="Une image contenant texte, diagramme, ligne, Tracé&#10;&#10;Le contenu généré par l’IA peut êtr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46146" cy="3747688"/>
                    </a:xfrm>
                    <a:prstGeom prst="rect">
                      <a:avLst/>
                    </a:prstGeom>
                  </pic:spPr>
                </pic:pic>
              </a:graphicData>
            </a:graphic>
          </wp:inline>
        </w:drawing>
      </w:r>
    </w:p>
    <w:p w14:paraId="730B3A60" w14:textId="0A7DF0E9" w:rsidR="00414F55" w:rsidRDefault="00414F55" w:rsidP="00414F55">
      <w:pPr>
        <w:pStyle w:val="Lgende"/>
        <w:jc w:val="center"/>
      </w:pPr>
      <w:bookmarkStart w:id="9" w:name="_Toc221441340"/>
      <w:r>
        <w:t xml:space="preserve">Figure </w:t>
      </w:r>
      <w:r w:rsidR="006B2AE6">
        <w:fldChar w:fldCharType="begin"/>
      </w:r>
      <w:r w:rsidR="006B2AE6">
        <w:instrText xml:space="preserve"> SEQ Figure \* ARABIC </w:instrText>
      </w:r>
      <w:r w:rsidR="006B2AE6">
        <w:fldChar w:fldCharType="separate"/>
      </w:r>
      <w:r w:rsidR="00B93EA8">
        <w:rPr>
          <w:noProof/>
        </w:rPr>
        <w:t>1</w:t>
      </w:r>
      <w:r w:rsidR="006B2AE6">
        <w:rPr>
          <w:noProof/>
        </w:rPr>
        <w:fldChar w:fldCharType="end"/>
      </w:r>
      <w:r>
        <w:t xml:space="preserve">: Force musculaire en fonction de l'âge </w:t>
      </w:r>
      <w:r>
        <w:fldChar w:fldCharType="begin"/>
      </w:r>
      <w:r>
        <w:instrText xml:space="preserve"> ADDIN ZOTERO_ITEM CSL_CITATION {"citationID":"i9FI2fHp","properties":{"formattedCitation":"(Cruz-Jentoft et al., 2019)","plainCitation":"(Cruz-Jentoft et al., 2019)","noteIndex":0},"citationItems":[{"id":503,"uris":["http://zotero.org/users/10583480/items/QJEJXHVF"],"itemData":{"id":503,"type":"article-journal","abstract":"BACKGROUND: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findings.\nOBJECTIVES: to increase consistency of research design, clinical diagnoses and ultimately, care for people with sarcopenia.\nRECOMMENDATIONS: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sarcopenia.\nCONCLUSIONS: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systems.","container-title":"Age and Ageing","DOI":"10.1093/ageing/afy169","ISSN":"1468-2834","issue":"1","journalAbbreviation":"Age Ageing","language":"eng","note":"PMID: 30312372\nPMCID: PMC6322506","page":"16-31","source":"PubMed","title":"Sarcopenia: revised European consensus on definition and diagnosis","title-short":"Sarcopenia","volume":"48","author":[{"family":"Cruz-Jentoft","given":"Alfonso J."},{"family":"Bahat","given":"Gülistan"},{"family":"Bauer","given":"Jürgen"},{"family":"Boirie","given":"Yves"},{"family":"Bruyère","given":"Olivier"},{"family":"Cederholm","given":"Tommy"},{"family":"Cooper","given":"Cyrus"},{"family":"Landi","given":"Francesco"},{"family":"Rolland","given":"Yves"},{"family":"Sayer","given":"Avan Aihie"},{"family":"Schneider","given":"Stéphane M."},{"family":"Sieber","given":"Cornel C."},{"family":"Topinkova","given":"Eva"},{"family":"Vandewoude","given":"Maurits"},{"family":"Visser","given":"Marjolein"},{"family":"Zamboni","given":"Mauro"},{"literal":"Writing Group for the European Working Group on Sarcopenia in Older People 2 (EWGSOP2), and the Extended Group for EWGSOP2"}],"issued":{"date-parts":[["2019",1,1]]}}}],"schema":"https://github.com/citation-style-language/schema/raw/master/csl-citation.json"} </w:instrText>
      </w:r>
      <w:r>
        <w:fldChar w:fldCharType="separate"/>
      </w:r>
      <w:r>
        <w:rPr>
          <w:noProof/>
        </w:rPr>
        <w:t>(Cruz-Jentoft et al., 2019)</w:t>
      </w:r>
      <w:bookmarkEnd w:id="9"/>
      <w:r>
        <w:fldChar w:fldCharType="end"/>
      </w:r>
    </w:p>
    <w:p w14:paraId="68FB2A90" w14:textId="77777777" w:rsidR="00414F55" w:rsidRDefault="00414F55" w:rsidP="001C18E0">
      <w:pPr>
        <w:spacing w:line="360" w:lineRule="auto"/>
        <w:jc w:val="both"/>
      </w:pPr>
    </w:p>
    <w:p w14:paraId="5BDCCDFE" w14:textId="4320D527" w:rsidR="00885349" w:rsidRDefault="00885349" w:rsidP="001C18E0">
      <w:pPr>
        <w:spacing w:line="360" w:lineRule="auto"/>
        <w:jc w:val="both"/>
      </w:pPr>
      <w:r>
        <w:tab/>
        <w:t xml:space="preserve">Le vieillissement </w:t>
      </w:r>
      <w:r w:rsidR="008F74AF">
        <w:t xml:space="preserve">peut, pour certains individus, </w:t>
      </w:r>
      <w:r>
        <w:t>éga</w:t>
      </w:r>
      <w:r w:rsidR="000A4F30">
        <w:t>lement</w:t>
      </w:r>
      <w:r w:rsidR="008F74AF">
        <w:t xml:space="preserve"> induire</w:t>
      </w:r>
      <w:r w:rsidR="000A4F30">
        <w:t xml:space="preserve"> une altération neuromusculaire : diminution du nombre d’unités motrices, dénervation partielle et récupération moins qualitative</w:t>
      </w:r>
      <w:r w:rsidR="008F74AF">
        <w:t xml:space="preserve"> </w:t>
      </w:r>
      <w:r w:rsidR="008F74AF">
        <w:fldChar w:fldCharType="begin"/>
      </w:r>
      <w:r w:rsidR="008F74AF">
        <w:instrText xml:space="preserve"> ADDIN ZOTERO_ITEM CSL_CITATION {"citationID":"zQmq2wz3","properties":{"formattedCitation":"(Piasecki et al., 2016a)","plainCitation":"(Piasecki et al., 2016a)","noteIndex":0},"citationItems":[{"id":505,"uris":["http://zotero.org/users/10583480/items/BB8A3859"],"itemData":{"id":505,"type":"article-journal","abstract":"Skeletal muscle size and strength decline in older age.The vastus lateralis, a large thigh muscle, undergoes extensive neuromuscular remodelling in healthy ageing, as characterized by a loss of motor neurons, enlargement of surviving motor units and instability of neuromuscular junction transmission.The loss of motor axons and changes to motor unit potential transmission precede a clinically‐relevant loss of muscle mass and function.","container-title":"The Journal of Physiology","DOI":"10.1113/JP271087","ISSN":"0022-3751","issue":"16","journalAbbreviation":"J Physiol","note":"PMID: 26486316\nPMCID: PMC4983624","page":"4525-4536","source":"PubMed Central","title":"Age‐related neuromuscular changes affecting human vastus lateralis","volume":"594","author":[{"family":"Piasecki","given":"M."},{"family":"Ireland","given":"A."},{"family":"Stashuk","given":"D."},{"family":"Hamilton‐Wright","given":"A."},{"family":"Jones","given":"D. A."},{"family":"McPhee","given":"J. S."}],"issued":{"date-parts":[["2016",8,15]]}}}],"schema":"https://github.com/citation-style-language/schema/raw/master/csl-citation.json"} </w:instrText>
      </w:r>
      <w:r w:rsidR="008F74AF">
        <w:fldChar w:fldCharType="separate"/>
      </w:r>
      <w:r w:rsidR="008F74AF">
        <w:rPr>
          <w:noProof/>
        </w:rPr>
        <w:t>(Piasecki et al., 2016a)</w:t>
      </w:r>
      <w:r w:rsidR="008F74AF">
        <w:fldChar w:fldCharType="end"/>
      </w:r>
      <w:r w:rsidR="000A4F30">
        <w:t xml:space="preserve">. Ces évolutions limitent la précision et la vitesse de contraction musculaire ce qui engendre une réduction de la capacité à répondre aux ajustements posturaux de façon précise et efficace </w:t>
      </w:r>
      <w:r w:rsidR="000A4F30">
        <w:fldChar w:fldCharType="begin"/>
      </w:r>
      <w:r w:rsidR="008F74AF">
        <w:instrText xml:space="preserve"> ADDIN ZOTERO_ITEM CSL_CITATION {"citationID":"Ji4Pg3tB","properties":{"formattedCitation":"(Piasecki et al., 2016b)","plainCitation":"(Piasecki et al., 2016b)","noteIndex":0},"citationItems":[{"id":506,"uris":["http://zotero.org/users/10583480/items/F287YY2L"],"itemData":{"id":506,"type":"article-journal","abstract":"Skeletal muscle size and strength decline in older age.The vastus lateralis, a large thigh muscle, undergoes extensive neuromuscular remodelling in healthy ageing, as characterized by a loss of motor neurons, enlargement of surviving motor units and instability of neuromuscular junction transmission.The loss of motor axons and changes to motor unit potential transmission precede a clinically‐relevant loss of muscle mass and function.","container-title":"The Journal of Physiology","DOI":"10.1113/JP271087","ISSN":"0022-3751","issue":"16","journalAbbreviation":"J Physiol","note":"PMID: 26486316\nPMCID: PMC4983624","page":"4525-4536","source":"PubMed Central","title":"Age‐related neuromuscular changes affecting human vastus lateralis","volume":"594","author":[{"family":"Piasecki","given":"M."},{"family":"Ireland","given":"A."},{"family":"Stashuk","given":"D."},{"family":"Hamilton‐Wright","given":"A."},{"family":"Jones","given":"D. A."},{"family":"McPhee","given":"J. S."}],"issued":{"date-parts":[["2016",8,15]]}}}],"schema":"https://github.com/citation-style-language/schema/raw/master/csl-citation.json"} </w:instrText>
      </w:r>
      <w:r w:rsidR="000A4F30">
        <w:fldChar w:fldCharType="separate"/>
      </w:r>
      <w:r w:rsidR="008F74AF">
        <w:rPr>
          <w:noProof/>
        </w:rPr>
        <w:t>(Piasecki et al., 2016b)</w:t>
      </w:r>
      <w:r w:rsidR="000A4F30">
        <w:fldChar w:fldCharType="end"/>
      </w:r>
      <w:r w:rsidR="000A4F30">
        <w:t>.</w:t>
      </w:r>
    </w:p>
    <w:p w14:paraId="4F97C52B" w14:textId="63CD4EEE" w:rsidR="00414E3F" w:rsidRDefault="001437DB" w:rsidP="001C18E0">
      <w:pPr>
        <w:spacing w:line="360" w:lineRule="auto"/>
        <w:jc w:val="both"/>
      </w:pPr>
      <w:r>
        <w:tab/>
        <w:t>Le vieillissement osseux contribue également à la fragilité des personnes âgées. La diminution de la densité minérale osseuse favorise l’apparition d’ostéoporose et augmente le risque de fracture</w:t>
      </w:r>
      <w:r w:rsidR="00821A0B">
        <w:t xml:space="preserve"> </w:t>
      </w:r>
      <w:r>
        <w:t>en cas de chute. Les raideurs articulaires s’ajoute</w:t>
      </w:r>
      <w:r w:rsidR="00821A0B">
        <w:t>nt</w:t>
      </w:r>
      <w:r>
        <w:t xml:space="preserve"> progressivement et limite</w:t>
      </w:r>
      <w:r w:rsidR="00821A0B">
        <w:t>nt</w:t>
      </w:r>
      <w:r>
        <w:t xml:space="preserve"> les stratégies de maintien postural </w:t>
      </w:r>
      <w:r>
        <w:fldChar w:fldCharType="begin"/>
      </w:r>
      <w:r>
        <w:instrText xml:space="preserve"> ADDIN ZOTERO_ITEM CSL_CITATION {"citationID":"K5PYZ03B","properties":{"formattedCitation":"(Seeman, 2002)","plainCitation":"(Seeman, 2002)","noteIndex":0},"citationItems":[{"id":511,"uris":["http://zotero.org/users/10583480/items/B85ZUCSG"],"itemData":{"id":511,"type":"article-journal","abstract":"There is no one cause of bone fragility; genetic and environmental factors play a part in development of smaller bones, fewer or thinner trabeculae, and thin cortices, all of which result in low peak bone density. Material and structural strength is maintained in early adulthood by remodelling; the focal replacement of old with new bone. However, as age advances less new bone is formed than resorbed in each site remodelled, producing bone loss and structural damage. In women, menopause-related oestrogen deficiency increases remodelling, and at each remodelled site more bone is resorbed and less is formed, accelerating bone loss and causing trabecular thinning and disconnection, cortical thinning and porosity. There is no equivalent midlife event in men, though reduced bone formation and subsequent trabecular and cortical thinning do result in bone loss. Hypogonadism contributes to bone loss in 20-30% of elderly men, and in both sexes hyperparathyroidism secondary to calcium malabsorption increases remodelling, worsening the cortical thinning and porosity and predisposing to hip fractures. Concurrent bone formation on the outer (periosteal) cortical bone surface during ageing partly compensates for bone loss and is greater in men than in women, so internal bone loss is better offset in men. More women than men sustain fractures because their smaller skeleton incurs greater architectural damage and adapts less effectively by periosteal bone formation. The structural basis of bone fragility is determined before birth, takes root during growth, and gains full expression during ageing in both sexes.","container-title":"Lancet (London, England)","DOI":"10.1016/S0140-6736(02)08706-8","ISSN":"0140-6736","issue":"9320","journalAbbreviation":"Lancet","language":"eng","note":"PMID: 12044392","page":"1841-1850","source":"PubMed","title":"Pathogenesis of bone fragility in women and men","volume":"359","author":[{"family":"Seeman","given":"Ego"}],"issued":{"date-parts":[["2002",5,25]]}}}],"schema":"https://github.com/citation-style-language/schema/raw/master/csl-citation.json"} </w:instrText>
      </w:r>
      <w:r>
        <w:fldChar w:fldCharType="separate"/>
      </w:r>
      <w:r>
        <w:rPr>
          <w:noProof/>
        </w:rPr>
        <w:t>(Seeman, 2002)</w:t>
      </w:r>
      <w:r>
        <w:fldChar w:fldCharType="end"/>
      </w:r>
      <w:r>
        <w:t>.</w:t>
      </w:r>
    </w:p>
    <w:p w14:paraId="7FE0413B" w14:textId="77777777" w:rsidR="001437DB" w:rsidRDefault="001437DB" w:rsidP="001C18E0">
      <w:pPr>
        <w:spacing w:line="360" w:lineRule="auto"/>
        <w:jc w:val="both"/>
      </w:pPr>
    </w:p>
    <w:p w14:paraId="2B8DFE23" w14:textId="75B24149" w:rsidR="001437DB" w:rsidRDefault="001437DB" w:rsidP="001C18E0">
      <w:pPr>
        <w:pStyle w:val="Titre4"/>
        <w:spacing w:line="360" w:lineRule="auto"/>
        <w:jc w:val="both"/>
      </w:pPr>
      <w:r>
        <w:t xml:space="preserve">Le système nerveux et sensoriel </w:t>
      </w:r>
    </w:p>
    <w:p w14:paraId="736C6A15" w14:textId="5659F32D" w:rsidR="007E34A8" w:rsidRDefault="007E34A8" w:rsidP="001C18E0">
      <w:pPr>
        <w:spacing w:line="360" w:lineRule="auto"/>
        <w:jc w:val="both"/>
      </w:pPr>
      <w:r>
        <w:tab/>
        <w:t xml:space="preserve">Au niveau du système nerveux central, le vieillissement entraîne une perte neuronale ce qui induit un ralentissement de la conduction nerveuse. Ces changements expliquent la réduction de la vitesse de traitement de l’information et l’allongement du temps de réaction face au déséquilibre postural </w:t>
      </w:r>
      <w:r>
        <w:fldChar w:fldCharType="begin"/>
      </w:r>
      <w:r>
        <w:instrText xml:space="preserve"> ADDIN ZOTERO_ITEM CSL_CITATION {"citationID":"q4Yx6Kd0","properties":{"formattedCitation":"(Yelnik, 2023)","plainCitation":"(Yelnik, 2023)","noteIndex":0},"citationItems":[{"id":208,"uris":["http://zotero.org/users/10583480/items/QIM4JUFE"],"itemData":{"id":208,"type":"article-journal","abstract":"Résumé\nLe médecin et le rééducateur s’interrogent quotidiennement devant un patient présentant un trouble de l’équilibre. Comprendre les ressources du système nerveux central (SNC) permet de mettre en œuvre les actions pour prévenir les chutes ou leur récidive. Car même si des facteurs externes environnementaux sont souvent incriminés et doivent être autant que possible éliminés, ils révèlent souvent une fragilité de l’équilibration. Le SNC doit orienter la tête et le tronc par rapport à la gravité, stabiliser le corps, anticiper les déséquilibres, contrôler les risques en se référant à sa mémoire des épisodes passés, en utilisant les programmes automatisés tels quels ou modulés et en s’adaptant à l’environnement. Chaque individu a ses propres schémas sensori-moteurs appelés « style perceptivo-moteur » qu’il faut identifier. Car la chute est souvent due à une réaction inappropriée ou à une prise de risque inadaptée à ses capacités. La notion de la conscience de prise de risque est essentielle, mettant en jeu les ressources cognitives. L’avancée en âge complique peu à peu la tâche par l’altération des capteurs et des effecteurs, le ralentissement de traitement de l’information. Mais bien que de nombreuses lésions puissent altérer les mécanismes d’équilibration, le SNC garde longtemps de remarquables possibilités d’adaptation. Nous proposons ici des règles générales comme bases à tout programme de rééducation, en plus des mesures spécifiques aux éventuelles déficiences.\nSummary\nPhysician and physical therapist are daily challenged by a patient with balance disorder. Understanding the resources of the central nervous system allows (CNS) makes it possible to implement measures to prevent falls and their recurrence. Even when they are external environmental factors, often incriminated and which should be eliminated as much as possible, they usually display frailty of the balance. The CNS has to direct head and trunk according to the gravity, stabilize the body, anticipate imbalance, control the risks by reference to previous experiences, using automatized programs modulated or not, and adaptating to the environment. Each individual has his or her own sensori-motor patterns called “perceptual-motor style” which has to be recognized. Falls are often due to an inappropriate reaction or due to a risk-taking behavior not adapted to the skills of the subject. This dimension of risk-taking is major, allowed by cognitive resources. The elderly slowly complicates balance control by the alteration of sensors and effectors and by the slowing of information processing. But despite many causes of balance disorders according to neurologic lesions, CNS keeps for a long time outstanding possibilities of adaptation. General rules for balance rehabilitation are suggested here, as a basis for every rehabilitation program, in addition to specific measures when needed by deficiencies.","container-title":"Bulletin de l'Académie Nationale de Médecine","DOI":"10.1016/j.banm.2023.02.008","ISSN":"0001-4079","issue":"5","journalAbbreviation":"Bulletin de l'Académie Nationale de Médecine","page":"649-660","source":"ScienceDirect","title":"Contrôle central de l’équilibre et prévention des chutes : impact sur la rééducation","title-short":"Contrôle central de l’équilibre et prévention des chutes","volume":"207","author":[{"family":"Yelnik","given":"A. P."}],"issued":{"date-parts":[["2023",5,1]]}}}],"schema":"https://github.com/citation-style-language/schema/raw/master/csl-citation.json"} </w:instrText>
      </w:r>
      <w:r>
        <w:fldChar w:fldCharType="separate"/>
      </w:r>
      <w:r>
        <w:rPr>
          <w:noProof/>
        </w:rPr>
        <w:t>(Yelnik, 2023)</w:t>
      </w:r>
      <w:r>
        <w:fldChar w:fldCharType="end"/>
      </w:r>
      <w:r>
        <w:t>.</w:t>
      </w:r>
    </w:p>
    <w:p w14:paraId="74CD74E2" w14:textId="53D2E2B5" w:rsidR="007E34A8" w:rsidRDefault="007E34A8" w:rsidP="001C18E0">
      <w:pPr>
        <w:spacing w:line="360" w:lineRule="auto"/>
        <w:jc w:val="both"/>
      </w:pPr>
      <w:r>
        <w:lastRenderedPageBreak/>
        <w:tab/>
        <w:t>Le syst</w:t>
      </w:r>
      <w:r w:rsidR="00937DAA">
        <w:t xml:space="preserve">ème visuel qui contribue au maintien de la verticalité et à la détection des obstacles est également affecté. Le vieillissement provoque une diminution de l’acuité visuelle, une réduction du champ optique et une altération de la sensibilité au contraste. Ces déficits perturbent la perception de l’environnement par l’individu et compliquent les réactions posturales </w:t>
      </w:r>
      <w:r w:rsidR="00937DAA">
        <w:fldChar w:fldCharType="begin"/>
      </w:r>
      <w:r w:rsidR="00937DAA">
        <w:instrText xml:space="preserve"> ADDIN ZOTERO_ITEM CSL_CITATION {"citationID":"Vqxk6XL6","properties":{"formattedCitation":"(Owsley, 2011)","plainCitation":"(Owsley, 2011)","noteIndex":0},"citationItems":[{"id":514,"uris":["http://zotero.org/users/10583480/items/CMBJKTSS"],"itemData":{"id":514,"type":"article-journal","abstract":"Given the increasing size of the older adult population in many countries, there is a pressing need to identify the nature of aging-related vision impairments, their underlying mechanisms, and how they impact older adults' performance of everyday visual tasks. The results of this research can then be used to develop and evaluate interventions to slow or reverse aging-related declines in vision, thereby improving quality of life. Here we summarize salient developments in research on aging and vision over the past 25 years, focusing on spatial contrast sensitivity, vision under low luminance, temporal sensitivity and motion perception, and visual processing speed.","container-title":"Vision Research","DOI":"10.1016/j.visres.2010.10.020","ISSN":"1878-5646","issue":"13","journalAbbreviation":"Vision Res","language":"eng","note":"PMID: 20974168\nPMCID: PMC3049199","page":"1610-1622","source":"PubMed","title":"Aging and vision","volume":"51","author":[{"family":"Owsley","given":"Cynthia"}],"issued":{"date-parts":[["2011",7,1]]}}}],"schema":"https://github.com/citation-style-language/schema/raw/master/csl-citation.json"} </w:instrText>
      </w:r>
      <w:r w:rsidR="00937DAA">
        <w:fldChar w:fldCharType="separate"/>
      </w:r>
      <w:r w:rsidR="00937DAA">
        <w:rPr>
          <w:noProof/>
        </w:rPr>
        <w:t>(Owsley, 2011)</w:t>
      </w:r>
      <w:r w:rsidR="00937DAA">
        <w:fldChar w:fldCharType="end"/>
      </w:r>
      <w:r w:rsidR="00937DAA">
        <w:t xml:space="preserve">. </w:t>
      </w:r>
    </w:p>
    <w:p w14:paraId="1B5CA4B1" w14:textId="7D811B30" w:rsidR="00FF6BAD" w:rsidRDefault="00FF6BAD" w:rsidP="001C18E0">
      <w:pPr>
        <w:spacing w:line="360" w:lineRule="auto"/>
        <w:jc w:val="both"/>
      </w:pPr>
      <w:r>
        <w:tab/>
        <w:t>Le système vestibulaire subit lui aussi une dégénérescence progressive avec une perte des cellules ciliées au niveau des canaux semi-circulaires et des organes otolitiques. Cela entraîne une diminution de la capacité</w:t>
      </w:r>
      <w:r w:rsidR="00821A0B">
        <w:t xml:space="preserve"> </w:t>
      </w:r>
      <w:r>
        <w:t>à se situer dans l’espace et une augmentation des perturbations induites par les mouvements de tête. Ces évolutions impactent la stabilité du regard et le contrôle postural</w:t>
      </w:r>
      <w:r w:rsidR="00FE7DD3">
        <w:t xml:space="preserve"> </w:t>
      </w:r>
      <w:r w:rsidR="00FE7DD3">
        <w:fldChar w:fldCharType="begin"/>
      </w:r>
      <w:r w:rsidR="00FE7DD3">
        <w:instrText xml:space="preserve"> ADDIN ZOTERO_ITEM CSL_CITATION {"citationID":"QubpehNh","properties":{"formattedCitation":"(Agrawal et al., 2009)","plainCitation":"(Agrawal et al., 2009)","noteIndex":0},"citationItems":[{"id":519,"uris":["http://zotero.org/users/10583480/items/2GWRQBNN"],"itemData":{"id":519,"type":"article-journal","abstract":"BACKGROUND: Balance dysfunction can be debilitating and can lead to catastrophic outcomes such as falls. The inner ear vestibular system is an important contributor to balance control. However, to our knowledge, the prevalence of vestibular dysfunction in the United States and the magnitude of the increased risk of falling associated with vestibular dysfunction have never been estimated. The objective of this study was to determine the prevalence of vestibular dysfunction among US adults, evaluate differences by sociodemographic characteristics, and estimate the association between vestibular dysfunction and risk of falls.\nMETHODS: We included data from the 2001-2004 National Health and Nutrition Examination Surveys, which were cross-sectional surveys of US adults aged 40 years and older (n = 5086). The main outcome measure was vestibular function as measured by the modified Romberg Test of Standing Balance on Firm and Compliant Support Surfaces.\nRESULTS: From 2001 through 2004, 35.4% of US adults aged 40 years and older (69 million Americans) had vestibular dysfunction. Odds of vestibular dysfunction increased significantly with age, were 40.3% lower in individuals with more than a high school education, and were 70.0% higher among people with diabetes mellitus. Participants with vestibular dysfunction who were clinically symptomatic (ie, reported dizziness) had a 12-fold increase in the odds of falling.\nCONCLUSIONS: Vestibular dysfunction, as measured by a simple postural metric, is common among US adults. Vestibular dysfunction significantly increases the likelihood of falls, which are among the most morbid and costly health conditions affecting older individuals. These data suggest the importance of diagnosing, treating, and potentially screening for vestibular deficits to reduce the burden of fall-related injuries and deaths in the United States.","container-title":"Archives of Internal Medicine","DOI":"10.1001/archinternmed.2009.66","ISSN":"1538-3679","issue":"10","journalAbbreviation":"Arch Intern Med","language":"eng","note":"PMID: 19468085","page":"938-944","source":"PubMed","title":"Disorders of balance and vestibular function in US adults: data from the National Health and Nutrition Examination Survey, 2001-2004","title-short":"Disorders of balance and vestibular function in US adults","volume":"169","author":[{"family":"Agrawal","given":"Yuri"},{"family":"Carey","given":"John P."},{"family":"Della Santina","given":"Charles C."},{"family":"Schubert","given":"Michael C."},{"family":"Minor","given":"Lloyd B."}],"issued":{"date-parts":[["2009",5,25]]}}}],"schema":"https://github.com/citation-style-language/schema/raw/master/csl-citation.json"} </w:instrText>
      </w:r>
      <w:r w:rsidR="00FE7DD3">
        <w:fldChar w:fldCharType="separate"/>
      </w:r>
      <w:r w:rsidR="00FE7DD3">
        <w:rPr>
          <w:noProof/>
        </w:rPr>
        <w:t>(Agrawal et al., 2009)</w:t>
      </w:r>
      <w:r w:rsidR="00FE7DD3">
        <w:fldChar w:fldCharType="end"/>
      </w:r>
      <w:r>
        <w:t xml:space="preserve">. </w:t>
      </w:r>
    </w:p>
    <w:p w14:paraId="330A9391" w14:textId="1EAC922F" w:rsidR="00F56A40" w:rsidRDefault="00FF6BAD" w:rsidP="001C18E0">
      <w:pPr>
        <w:spacing w:line="360" w:lineRule="auto"/>
        <w:jc w:val="both"/>
      </w:pPr>
      <w:r>
        <w:tab/>
        <w:t xml:space="preserve">Le système somato-sensoriel est </w:t>
      </w:r>
      <w:r w:rsidR="00821A0B">
        <w:t xml:space="preserve">également </w:t>
      </w:r>
      <w:r>
        <w:t>impacté par une diminution de la sensibilité superficielle ainsi que de la proprioception</w:t>
      </w:r>
      <w:r w:rsidR="00FE7DD3">
        <w:t xml:space="preserve">, notamment au niveau des membres inférieurs </w:t>
      </w:r>
      <w:r w:rsidR="00FE7DD3">
        <w:fldChar w:fldCharType="begin"/>
      </w:r>
      <w:r w:rsidR="00FE7DD3">
        <w:instrText xml:space="preserve"> ADDIN ZOTERO_ITEM CSL_CITATION {"citationID":"6mAgCHT5","properties":{"formattedCitation":"(Shaffer &amp; Harrison, 2007)","plainCitation":"(Shaffer &amp; Harrison, 2007)","noteIndex":0},"citationItems":[{"id":517,"uris":["http://zotero.org/users/10583480/items/ZH2GIMTI"],"itemData":{"id":517,"type":"article-journal","abstract":"Balance in the elderly population is a major concern given the often catastrophic and disabling consequences of fall-related injuries. Structural and functional declines of the somatosensory system occur with aging and potentially contribute to postural instability in older adults. The objectives of this article are: (1) to discuss the evidence regarding age-related anatomical and physiological changes that occur in the peripheral proprioceptive and cutaneous systems, (2) to relate the basic science research to the current evidence regarding clinical changes associated with normal aging, and (3) to review the evidence regarding age-related proprioceptive and cutaneous clinical changes and relate it to research examining balance performance in older adults. The article is organized by an examination of the receptors responsible for activating afferent pathways (muscle spindle, golgi tendon organ, and articular and cutaneous receptors) and the corresponding sensory afferent fibers and neurons. It integrates basic science laboratory findings with clinical evidence suggesting that advanced aging results in a decline in cutaneous sensation and proprioception. The potential relationship between postural instability and sensory impairments in older adults also is discussed. Current laboratory and clinical evidence suggests that aging results in: (1) diverse and nonuniform declines in the morphology and physiological function of the various sensory structures examined, (2) preferential loss of distal large myelinated sensory fibers and receptors, and (3) impaired distal lower-extremity proprioception, vibration and discriminative touch, and balance. These findings provide foundational knowledge that emphasizes the importance of using reliable and valid sensory testing protocols for older adults and the need for further research that clarifies the relationship between sensory impairment and balance.","container-title":"Physical Therapy","DOI":"10.2522/ptj.20060083","ISSN":"0031-9023","issue":"2","journalAbbreviation":"Phys Ther","language":"eng","note":"PMID: 17244695","page":"193-207","source":"PubMed","title":"Aging of the somatosensory system: a translational perspective","title-short":"Aging of the somatosensory system","volume":"87","author":[{"family":"Shaffer","given":"Scott W."},{"family":"Harrison","given":"Anne L."}],"issued":{"date-parts":[["2007",2]]}}}],"schema":"https://github.com/citation-style-language/schema/raw/master/csl-citation.json"} </w:instrText>
      </w:r>
      <w:r w:rsidR="00FE7DD3">
        <w:fldChar w:fldCharType="separate"/>
      </w:r>
      <w:r w:rsidR="00FE7DD3">
        <w:rPr>
          <w:noProof/>
        </w:rPr>
        <w:t>(Shaffer &amp; Harrison, 2007)</w:t>
      </w:r>
      <w:r w:rsidR="00FE7DD3">
        <w:fldChar w:fldCharType="end"/>
      </w:r>
      <w:r w:rsidR="00FE7DD3">
        <w:t>.</w:t>
      </w:r>
    </w:p>
    <w:p w14:paraId="43914B4E" w14:textId="1B7C1764" w:rsidR="00FE7DD3" w:rsidRDefault="004049FE" w:rsidP="004049FE">
      <w:pPr>
        <w:spacing w:after="0" w:line="360" w:lineRule="auto"/>
        <w:jc w:val="both"/>
        <w:rPr>
          <w:rFonts w:eastAsia="Times New Roman" w:cstheme="minorHAnsi"/>
          <w:lang w:eastAsia="fr-FR"/>
        </w:rPr>
      </w:pPr>
      <w:r>
        <w:rPr>
          <w:rFonts w:eastAsia="Times New Roman" w:cstheme="minorHAnsi"/>
          <w:color w:val="000000"/>
          <w:lang w:eastAsia="fr-FR"/>
        </w:rPr>
        <w:tab/>
      </w:r>
      <w:r w:rsidRPr="004049FE">
        <w:rPr>
          <w:rFonts w:eastAsia="Times New Roman" w:cstheme="minorHAnsi"/>
          <w:color w:val="000000"/>
          <w:lang w:eastAsia="fr-FR"/>
        </w:rPr>
        <w:t>L’accumulation de ces modifications physiologiques ne se limite pas à une simple usure structurelle de l’organisme</w:t>
      </w:r>
      <w:r>
        <w:rPr>
          <w:rFonts w:eastAsia="Times New Roman" w:cstheme="minorHAnsi"/>
          <w:color w:val="000000"/>
          <w:lang w:eastAsia="fr-FR"/>
        </w:rPr>
        <w:t>. E</w:t>
      </w:r>
      <w:r w:rsidRPr="004049FE">
        <w:rPr>
          <w:rFonts w:eastAsia="Times New Roman" w:cstheme="minorHAnsi"/>
          <w:color w:val="000000"/>
          <w:lang w:eastAsia="fr-FR"/>
        </w:rPr>
        <w:t>lle se traduit par un impact fonctionnel majeur sur l'autonomie de la personne âgée. La synergie entre la perte de force (sarcopénie) et le ralentissement de la conduction nerveuse réduit directement la capacité de l’individu à produire des réponses motrices rapides et précises face à un déséquilibre. Parallèlement, le déficit de captation des informations visuelles, vestibulaires et proprioceptives fragilise la perception de la verticalité et de l'environnement, rendant le contrôle de la posture de plus en plus coûteux en énergie et moins efficace.</w:t>
      </w:r>
    </w:p>
    <w:p w14:paraId="770BD394" w14:textId="77777777" w:rsidR="004049FE" w:rsidRPr="004049FE" w:rsidRDefault="004049FE" w:rsidP="004049FE">
      <w:pPr>
        <w:spacing w:after="0" w:line="360" w:lineRule="auto"/>
        <w:jc w:val="both"/>
        <w:rPr>
          <w:rFonts w:eastAsia="Times New Roman" w:cstheme="minorHAnsi"/>
          <w:lang w:eastAsia="fr-FR"/>
        </w:rPr>
      </w:pPr>
    </w:p>
    <w:p w14:paraId="13AB0B97" w14:textId="26E8E3AF" w:rsidR="00D42005" w:rsidRDefault="00D42005" w:rsidP="001C18E0">
      <w:pPr>
        <w:pStyle w:val="Titre3"/>
        <w:spacing w:line="360" w:lineRule="auto"/>
        <w:jc w:val="both"/>
      </w:pPr>
      <w:bookmarkStart w:id="10" w:name="_Toc221704611"/>
      <w:r>
        <w:t>Épidémiologie du vieillissement</w:t>
      </w:r>
      <w:bookmarkEnd w:id="10"/>
    </w:p>
    <w:p w14:paraId="6BFFE0BD" w14:textId="1963821A" w:rsidR="00D42005" w:rsidRDefault="00D42005" w:rsidP="001C18E0">
      <w:pPr>
        <w:spacing w:line="360" w:lineRule="auto"/>
        <w:ind w:firstLine="284"/>
        <w:jc w:val="both"/>
      </w:pPr>
      <w:r>
        <w:t xml:space="preserve">Les nations unies prévoient, d’ici 2050, le doublement du nombre de PA dans le monde. Leur part </w:t>
      </w:r>
      <w:r w:rsidR="00E10BC8">
        <w:t>dans</w:t>
      </w:r>
      <w:r>
        <w:t xml:space="preserve"> la population mondiale passerait de 9 à 16%, </w:t>
      </w:r>
      <w:r w:rsidR="00E10BC8">
        <w:t>passant</w:t>
      </w:r>
      <w:r>
        <w:t xml:space="preserve"> ainsi de 700 millions d’individus à 1.</w:t>
      </w:r>
      <w:r w:rsidR="00E10BC8">
        <w:t xml:space="preserve">5 </w:t>
      </w:r>
      <w:r w:rsidR="00D87C43">
        <w:t>milliards.</w:t>
      </w:r>
      <w:r w:rsidR="00E10BC8">
        <w:t xml:space="preserve"> Cette augmentation du nombre de </w:t>
      </w:r>
      <w:r w:rsidR="00821A0B">
        <w:t xml:space="preserve">personnes âgées </w:t>
      </w:r>
      <w:r w:rsidR="00E10BC8">
        <w:t xml:space="preserve">est </w:t>
      </w:r>
      <w:proofErr w:type="spellStart"/>
      <w:r w:rsidR="00E10BC8">
        <w:t>dû</w:t>
      </w:r>
      <w:r w:rsidR="00821A0B">
        <w:t>e</w:t>
      </w:r>
      <w:proofErr w:type="spellEnd"/>
      <w:r w:rsidR="00E10BC8">
        <w:t xml:space="preserve"> à l’allongement de l’espérance de vie et à la baisse du taux de </w:t>
      </w:r>
      <w:r w:rsidR="001437DB">
        <w:t>natalité</w:t>
      </w:r>
      <w:r w:rsidR="004049FE">
        <w:t xml:space="preserve"> </w:t>
      </w:r>
      <w:r w:rsidR="004049FE">
        <w:fldChar w:fldCharType="begin"/>
      </w:r>
      <w:r w:rsidR="004049FE">
        <w:instrText xml:space="preserve"> ADDIN ZOTERO_ITEM CSL_CITATION {"citationID":"Sfp1Z3IJ","properties":{"formattedCitation":"(ONU, 2019)","plainCitation":"(ONU, 2019)","noteIndex":0},"citationItems":[{"id":573,"uris":["http://zotero.org/users/10583480/items/5Q6LPZNB"],"itemData":{"id":573,"type":"article-newspaper","title":"World Population Ageing 2019: Highlights","author":[{"literal":"ONU"}],"issued":{"date-parts":[["2019"]]}}}],"schema":"https://github.com/citation-style-language/schema/raw/master/csl-citation.json"} </w:instrText>
      </w:r>
      <w:r w:rsidR="004049FE">
        <w:fldChar w:fldCharType="separate"/>
      </w:r>
      <w:r w:rsidR="004049FE">
        <w:rPr>
          <w:noProof/>
        </w:rPr>
        <w:t>(ONU, 2019)</w:t>
      </w:r>
      <w:r w:rsidR="004049FE">
        <w:fldChar w:fldCharType="end"/>
      </w:r>
      <w:r w:rsidR="001437DB">
        <w:t>.</w:t>
      </w:r>
      <w:r w:rsidR="00E10BC8">
        <w:t xml:space="preserve"> </w:t>
      </w:r>
    </w:p>
    <w:p w14:paraId="7E7096F4" w14:textId="4B4770E2" w:rsidR="00D42005" w:rsidRDefault="00E10BC8" w:rsidP="001C18E0">
      <w:pPr>
        <w:spacing w:line="360" w:lineRule="auto"/>
        <w:ind w:firstLine="284"/>
        <w:jc w:val="both"/>
      </w:pPr>
      <w:r>
        <w:t xml:space="preserve">En 2020, les </w:t>
      </w:r>
      <w:r w:rsidR="004049FE">
        <w:t>personnes âgées</w:t>
      </w:r>
      <w:r>
        <w:t xml:space="preserve"> représentaient 20,5% de la population française</w:t>
      </w:r>
      <w:r w:rsidR="00E2740C">
        <w:t xml:space="preserve"> </w:t>
      </w:r>
      <w:r w:rsidR="00E2740C">
        <w:fldChar w:fldCharType="begin"/>
      </w:r>
      <w:r w:rsidR="00E2740C">
        <w:instrText xml:space="preserve"> ADDIN ZOTERO_ITEM CSL_CITATION {"citationID":"MCgmifjG","properties":{"formattedCitation":"(Papon &amp; Beaumel, 2021)","plainCitation":"(Papon &amp; Beaumel, 2021)","noteIndex":0},"citationItems":[{"id":574,"uris":["http://zotero.org/users/10583480/items/8EDJHHX6"],"itemData":{"id":574,"type":"document","title":"Avec la pandémie de Covid-19, nette baisse de l’espérance de vie et chute du nombre de mariages","author":[{"literal":"Papon"},{"literal":"Beaumel"}],"issued":{"date-parts":[["2021"]]}}}],"schema":"https://github.com/citation-style-language/schema/raw/master/csl-citation.json"} </w:instrText>
      </w:r>
      <w:r w:rsidR="00E2740C">
        <w:fldChar w:fldCharType="separate"/>
      </w:r>
      <w:r w:rsidR="00E2740C">
        <w:rPr>
          <w:noProof/>
        </w:rPr>
        <w:t>(Papon &amp; Beaumel, 2021)</w:t>
      </w:r>
      <w:r w:rsidR="00E2740C">
        <w:fldChar w:fldCharType="end"/>
      </w:r>
      <w:r>
        <w:t>. Selon les projections de la population, en 2070, la part de PA en France pourrait atteindre les 28,7</w:t>
      </w:r>
      <w:r w:rsidR="00760694">
        <w:t>%.</w:t>
      </w:r>
      <w:r w:rsidR="00BF3EA6">
        <w:t xml:space="preserve"> Les Français vivent certes plus longtemps mais la part de vieillissement sans perturbation de la qualité de vie, lui, ne change pa</w:t>
      </w:r>
      <w:r w:rsidR="00821A0B">
        <w:t>s.</w:t>
      </w:r>
      <w:r w:rsidR="008D6D90">
        <w:t xml:space="preserve"> </w:t>
      </w:r>
      <w:r w:rsidR="00821A0B">
        <w:t>L</w:t>
      </w:r>
      <w:r w:rsidR="008D6D90">
        <w:t>es personnes âgées subissent encore à ce jour les effets du vieillissement sur leur santé comme</w:t>
      </w:r>
      <w:r w:rsidR="00821A0B">
        <w:t>, par exemple,</w:t>
      </w:r>
      <w:r w:rsidR="008D6D90">
        <w:t xml:space="preserve"> la diminution des capacités de l’appareil locomoteur ou encore une décompensation des fonctions cognitives </w:t>
      </w:r>
      <w:r w:rsidR="00E2740C">
        <w:fldChar w:fldCharType="begin"/>
      </w:r>
      <w:r w:rsidR="00E2740C">
        <w:instrText xml:space="preserve"> ADDIN ZOTERO_ITEM CSL_CITATION {"citationID":"mLeE0GJX","properties":{"formattedCitation":"(Jeandel, 2005)","plainCitation":"(Jeandel, 2005)","noteIndex":0},"citationItems":[{"id":241,"uris":["http://zotero.org/users/10583480/items/PT48LGZ6"],"itemData":{"id":241,"type":"article-journal","container-title":"Les Tribunes de la santé","DOI":"10.3917/seve.007.35","ISSN":"1765-8888","issue":"2","language":"fr","note":"publisher: Presses de Sciences Po\nsection: Psychologie","page":"25-35","source":"shs.cairn.info","title":"Les différents parcours du vieillissement","volume":"7","author":[{"family":"Jeandel","given":"Claude"}],"issued":{"date-parts":[["2005"]]}}}],"schema":"https://github.com/citation-style-language/schema/raw/master/csl-citation.json"} </w:instrText>
      </w:r>
      <w:r w:rsidR="00E2740C">
        <w:fldChar w:fldCharType="separate"/>
      </w:r>
      <w:r w:rsidR="00E2740C">
        <w:rPr>
          <w:noProof/>
        </w:rPr>
        <w:t>(Jeandel, 2005)</w:t>
      </w:r>
      <w:r w:rsidR="00E2740C">
        <w:fldChar w:fldCharType="end"/>
      </w:r>
      <w:r w:rsidR="00E2740C">
        <w:t xml:space="preserve">. </w:t>
      </w:r>
      <w:r w:rsidR="008D6D90">
        <w:t>L</w:t>
      </w:r>
      <w:r>
        <w:t xml:space="preserve">a </w:t>
      </w:r>
      <w:r w:rsidR="00821A0B">
        <w:t>France,</w:t>
      </w:r>
      <w:r>
        <w:t xml:space="preserve"> comme tous les pays d’Europe</w:t>
      </w:r>
      <w:r w:rsidR="00821A0B">
        <w:t>,</w:t>
      </w:r>
      <w:r>
        <w:t xml:space="preserve"> </w:t>
      </w:r>
      <w:r w:rsidR="00821A0B">
        <w:t>est</w:t>
      </w:r>
      <w:r>
        <w:t xml:space="preserve"> concerné</w:t>
      </w:r>
      <w:r w:rsidR="00821A0B">
        <w:t>e</w:t>
      </w:r>
      <w:r>
        <w:t xml:space="preserve"> par</w:t>
      </w:r>
      <w:r w:rsidR="008D6D90">
        <w:t xml:space="preserve"> les enjeux, qu’il</w:t>
      </w:r>
      <w:r w:rsidR="00821A0B">
        <w:t>s</w:t>
      </w:r>
      <w:r w:rsidR="008D6D90">
        <w:t xml:space="preserve"> soit économique</w:t>
      </w:r>
      <w:r w:rsidR="00821A0B">
        <w:t>s</w:t>
      </w:r>
      <w:r w:rsidR="008D6D90">
        <w:t xml:space="preserve"> ou socia</w:t>
      </w:r>
      <w:r w:rsidR="00821A0B">
        <w:t>ux</w:t>
      </w:r>
      <w:r w:rsidR="008D6D90">
        <w:t xml:space="preserve">, concernant le </w:t>
      </w:r>
      <w:r w:rsidR="008D6D90">
        <w:lastRenderedPageBreak/>
        <w:t>vieillissement</w:t>
      </w:r>
      <w:r w:rsidR="00821A0B">
        <w:t xml:space="preserve"> et </w:t>
      </w:r>
      <w:r w:rsidR="00BF3EA6">
        <w:t>doit</w:t>
      </w:r>
      <w:r w:rsidR="00821A0B">
        <w:t xml:space="preserve"> donc</w:t>
      </w:r>
      <w:r w:rsidR="008D6D90">
        <w:t xml:space="preserve"> </w:t>
      </w:r>
      <w:r w:rsidR="00BF3EA6">
        <w:t>mettre en place différentes stratégie</w:t>
      </w:r>
      <w:r w:rsidR="00AC0A5A">
        <w:t>s</w:t>
      </w:r>
      <w:r w:rsidR="00BF3EA6">
        <w:t xml:space="preserve"> pour s’adapter à cette transition</w:t>
      </w:r>
      <w:r w:rsidR="00D57BEC">
        <w:t xml:space="preserve"> </w:t>
      </w:r>
      <w:r w:rsidR="00D57BEC">
        <w:fldChar w:fldCharType="begin"/>
      </w:r>
      <w:r w:rsidR="00D57BEC">
        <w:instrText xml:space="preserve"> ADDIN ZOTERO_ITEM CSL_CITATION {"citationID":"NODE6k7s","properties":{"formattedCitation":"(Ishii, 2013)","plainCitation":"(Ishii, 2013)","noteIndex":0},"citationItems":[{"id":243,"uris":["http://zotero.org/users/10583480/items/XDJ3AERC"],"itemData":{"id":243,"type":"article-journal","container-title":"La Revue de l'Ires","DOI":"10.3917/rdli.079.0003","ISSN":"1145-1378","issue":"4","language":"fr","note":"publisher: I.R.E.S.\nsection: Droit social","page":"3-33","source":"shs.cairn.info","title":"La prise en charge des personnes âgées dépendantes à domicile en France et au Japon : quelles différences ?","title-short":"La prise en charge des personnes âgées dépendantes à domicile en France et au Japon","volume":"79","author":[{"family":"Ishii","given":"Karine"}],"issued":{"date-parts":[["2013"]]}}}],"schema":"https://github.com/citation-style-language/schema/raw/master/csl-citation.json"} </w:instrText>
      </w:r>
      <w:r w:rsidR="00D57BEC">
        <w:fldChar w:fldCharType="separate"/>
      </w:r>
      <w:r w:rsidR="00D57BEC">
        <w:rPr>
          <w:noProof/>
        </w:rPr>
        <w:t>(Ishii, 2013)</w:t>
      </w:r>
      <w:r w:rsidR="00D57BEC">
        <w:fldChar w:fldCharType="end"/>
      </w:r>
      <w:r w:rsidR="00F56A40">
        <w:t>.</w:t>
      </w:r>
    </w:p>
    <w:p w14:paraId="7ACF420E" w14:textId="750A65B5" w:rsidR="00E2740C" w:rsidRPr="00E2740C" w:rsidRDefault="00E2740C" w:rsidP="00E2740C">
      <w:pPr>
        <w:spacing w:line="360" w:lineRule="auto"/>
        <w:ind w:firstLine="284"/>
        <w:jc w:val="both"/>
        <w:rPr>
          <w:rFonts w:cstheme="minorHAnsi"/>
        </w:rPr>
      </w:pPr>
      <w:r w:rsidRPr="00E2740C">
        <w:rPr>
          <w:rFonts w:cstheme="minorHAnsi"/>
          <w:color w:val="000000"/>
        </w:rPr>
        <w:t>L'augmentation mécanique du nombre de personnes vulnérables, dont les réserves physiologiques sont entamées, s'accompagne d'une hausse inévitable de la prévalence des accidents liés à la fragilité. Parmi eux, la chute s'impose comme l'événement clinique le plus fréquent et le plus redouté</w:t>
      </w:r>
      <w:r w:rsidRPr="00E2740C">
        <w:rPr>
          <w:rFonts w:cstheme="minorHAnsi"/>
          <w:color w:val="000000"/>
        </w:rPr>
        <w:t>.</w:t>
      </w:r>
    </w:p>
    <w:p w14:paraId="761FF684" w14:textId="77777777" w:rsidR="00494803" w:rsidRPr="00D42005" w:rsidRDefault="00494803" w:rsidP="001C18E0">
      <w:pPr>
        <w:spacing w:line="360" w:lineRule="auto"/>
        <w:ind w:firstLine="284"/>
        <w:jc w:val="both"/>
      </w:pPr>
    </w:p>
    <w:p w14:paraId="3DE7D1AB" w14:textId="335053BE" w:rsidR="002972E6" w:rsidRDefault="002972E6" w:rsidP="001C18E0">
      <w:pPr>
        <w:pStyle w:val="Titre2"/>
        <w:spacing w:line="360" w:lineRule="auto"/>
        <w:jc w:val="both"/>
      </w:pPr>
      <w:bookmarkStart w:id="11" w:name="_Toc221704612"/>
      <w:r>
        <w:t>La chute</w:t>
      </w:r>
      <w:bookmarkEnd w:id="11"/>
    </w:p>
    <w:p w14:paraId="117954C8" w14:textId="33856929" w:rsidR="00674D4F" w:rsidRPr="00674D4F" w:rsidRDefault="00674D4F" w:rsidP="001C18E0">
      <w:pPr>
        <w:pStyle w:val="Titre3"/>
        <w:spacing w:line="360" w:lineRule="auto"/>
        <w:jc w:val="both"/>
      </w:pPr>
      <w:bookmarkStart w:id="12" w:name="_Toc221704613"/>
      <w:r>
        <w:t>Définition</w:t>
      </w:r>
      <w:bookmarkEnd w:id="12"/>
    </w:p>
    <w:p w14:paraId="28E2E9A4" w14:textId="59922516" w:rsidR="00674D4F" w:rsidRDefault="004D1FDA" w:rsidP="001C18E0">
      <w:pPr>
        <w:spacing w:line="360" w:lineRule="auto"/>
        <w:ind w:firstLine="284"/>
        <w:jc w:val="both"/>
      </w:pPr>
      <w:r>
        <w:t>La chute désigne</w:t>
      </w:r>
      <w:r w:rsidR="00E2740C">
        <w:t xml:space="preserve"> </w:t>
      </w:r>
      <w:r>
        <w:t>l’action de tomber, de perdre l’équilibre, d’être entraîné vers le sol</w:t>
      </w:r>
      <w:r w:rsidR="00E2740C">
        <w:t xml:space="preserve"> </w:t>
      </w:r>
      <w:r w:rsidR="00E2740C">
        <w:fldChar w:fldCharType="begin"/>
      </w:r>
      <w:r w:rsidR="00E2740C">
        <w:instrText xml:space="preserve"> ADDIN ZOTERO_ITEM CSL_CITATION {"citationID":"WHts2YeY","properties":{"formattedCitation":"(Buisson &amp; Boussuge, 2023)","plainCitation":"(Buisson &amp; Boussuge, 2023)","noteIndex":0},"citationItems":[{"id":575,"uris":["http://zotero.org/users/10583480/items/XVVJLL63"],"itemData":{"id":575,"type":"article-journal","container-title":"Hors collection Infirmier Vuibert","language":"fr","note":"ISBN: 9782311663709\npublisher: Vuibert","page":"72-74","source":"stm.cairn.info","title":"Chute et conséquences:Processus traumatiques","title-short":"Chute et conséquences","author":[{"family":"Buisson","given":"Caroline"},{"family":"Boussuge","given":"Alexandre"}],"issued":{"date-parts":[["2023"]]}}}],"schema":"https://github.com/citation-style-language/schema/raw/master/csl-citation.json"} </w:instrText>
      </w:r>
      <w:r w:rsidR="00E2740C">
        <w:fldChar w:fldCharType="separate"/>
      </w:r>
      <w:r w:rsidR="00E2740C">
        <w:rPr>
          <w:noProof/>
        </w:rPr>
        <w:t>(Buisson &amp; Boussuge, 2023)</w:t>
      </w:r>
      <w:r w:rsidR="00E2740C">
        <w:fldChar w:fldCharType="end"/>
      </w:r>
      <w:r>
        <w:t xml:space="preserve">. </w:t>
      </w:r>
      <w:r w:rsidR="00674D4F">
        <w:t xml:space="preserve">Le vieillissement engendre de nombreux troubles qui peuvent avoir </w:t>
      </w:r>
      <w:r w:rsidR="00C16EC5">
        <w:t xml:space="preserve">un impact sur </w:t>
      </w:r>
      <w:r w:rsidR="00674D4F">
        <w:t xml:space="preserve">la santé des </w:t>
      </w:r>
      <w:r w:rsidR="00C16EC5">
        <w:t xml:space="preserve">individus </w:t>
      </w:r>
      <w:r w:rsidR="00C16EC5">
        <w:fldChar w:fldCharType="begin"/>
      </w:r>
      <w:r w:rsidR="00C16EC5">
        <w:instrText xml:space="preserve"> ADDIN ZOTERO_ITEM CSL_CITATION {"citationID":"ujKNlBO6","properties":{"formattedCitation":"(Guilbaud et al., 2020)","plainCitation":"(Guilbaud et al., 2020)","noteIndex":0},"citationItems":[{"id":246,"uris":["http://zotero.org/users/10583480/items/CRVAJTQD"],"itemData":{"id":246,"type":"article-journal","abstract":"Le vieillissement est un événement physiologique qui commence très tôt dans la vie. L’âge civil, qui nous est donné, ne reflète cependant pas notre âge physiologique. Le vieillissement peut s’accélérer selon nos habitudes de vie. C’est à partir de l’âge de 30 ans que l’on constate une diminution du fonctionnement de nos organes. Le vieillissement conduit ainsi vers 3 états : robuste, polypathologique et dépendant, ou fragile. L’état de fragilité est réversible. Afin de « bien vieillir », il est donc nécessaire d’être acteur de son vieillissement et non plus de le subir. Les centenaires des « zones bleues » qui, culturellement, ont réalisé un vieillissement actif, sont un exemple de vieillissement réussi et donc du « bien vieillir.","container-title":"médecine/sciences","DOI":"10.1051/medsci/2020224","ISSN":"0767-0974, 1958-5381","issue":"12","journalAbbreviation":"Med Sci (Paris)","language":"fr","license":"© 2020 médecine/sciences – Inserm","note":"number: 12\npublisher: EDP Sciences","page":"1173-1180","source":"www.medecinesciences.org","title":"Vieillissement - Une approche globale, multidimensionnelle et préventive","volume":"36","author":[{"family":"Guilbaud","given":"Axel"},{"family":"Mailliez","given":"Aurélie"},{"family":"Boulanger","given":"Éric"}],"issued":{"date-parts":[["2020",12,1]]}}}],"schema":"https://github.com/citation-style-language/schema/raw/master/csl-citation.json"} </w:instrText>
      </w:r>
      <w:r w:rsidR="00C16EC5">
        <w:fldChar w:fldCharType="separate"/>
      </w:r>
      <w:r w:rsidR="00C16EC5">
        <w:rPr>
          <w:noProof/>
        </w:rPr>
        <w:t>(Guilbaud et al., 2020)</w:t>
      </w:r>
      <w:r w:rsidR="00C16EC5">
        <w:fldChar w:fldCharType="end"/>
      </w:r>
      <w:r w:rsidR="00C16EC5">
        <w:t>.</w:t>
      </w:r>
      <w:r w:rsidR="00674D4F">
        <w:t xml:space="preserve"> Parmi elles, les chutes représentent une des conséquences majeures</w:t>
      </w:r>
      <w:r w:rsidR="00C16EC5">
        <w:t xml:space="preserve"> </w:t>
      </w:r>
      <w:r w:rsidR="00C16EC5">
        <w:fldChar w:fldCharType="begin"/>
      </w:r>
      <w:r w:rsidR="00C16EC5">
        <w:instrText xml:space="preserve"> ADDIN ZOTERO_ITEM CSL_CITATION {"citationID":"WI0GmsMS","properties":{"formattedCitation":"(Gonthier, 2014)","plainCitation":"(Gonthier, 2014)","noteIndex":0},"citationItems":[{"id":248,"uris":["http://zotero.org/users/10583480/items/KCF2DIT8"],"itemData":{"id":248,"type":"article-journal","abstract":"RÉSUMÉ\nLachute est la première cause demortalité accidentelle chez le sujet âgé (environ 12 000 décès par an). Elle devient de plus en plus fréquente au fur et à mesure du vieillissement : un tiers des sujets âgés de plus de 65 ans vivant à domicile chutent au moins une fois par an et la moitié des plus de 85 ans font une ou plusieurs chutes par an. Malgré sa fréquence, elle ne doit pas être banalisée, car elle entraîne une morbidité et des dépenses de soins importantes : 10 % des chutes ont des conséquences traumatiques sévères à l’origine de 30 % des hospitalisations des personnes âgées ; même en l’absence de lésions traumatiques, la chute peut avoir des conséquences psychologiques (anxiété à la marche, peur de retomber) qui se compliquent d’un syndrome de désadaptation psychomotrice avec une restriction volontaire des activités de la vie quotidienne dans 30 % des cas. Les facteurs de risque de chute sont nombreux et on tombe exceptionnellement pour une raison unique et précise. Lorsque la chute est récurrente, on trouve cliniquement des troubles de l’équilibre et de la marche, ainsi qu’une baisse de la force musculaire parfois dans le cadre d’une pathologie latente. Chez les chuteurs à domicile, la prise en compte des risques liés à l’environnement est nécessaire, car cela permet le développement d’actions ciblées de prévention. En institution, il est important que les soignants intègrent que le risque de chute augmente avec le degré de sévérité de la démence, avec la prise de certaines catégories de médicaments (psychotropes surtout) ou avec l’existence d’une cachexie compliquée d’une baisse majeure de la force des quadriceps. Environ 1,5 % de l’ensemble des dépenses de santé sont en lien avec les chutes. La majorité des coûts est due aux hospitalisations, sachant que les fractures de l’extrémité supérieure du fémur sont les plus coûteuses à traiter. Depuis quelques années, grâce à la prévention de l’ostéoporose et des chutes, le nombre annuel de fractures du col du fémur se stabilise (environ 79 500 par an) et les taux standardisés d’hospitalisation ont baissé, ainsi que les durées de séjour. Pour réduire les coûts en lien avec l’augmentation du nombre de sujets âgés, il faudra intensifier la prévention grâce à la prise en compte précoce des facteurs de fragilisation du milieu de la vie.\nSUMMARY\nFalls are the leading cause of accidental death among the elderly, accounting for about 12 000 deaths per year. The risk of falls increases with age: one-third of subjects over 65 years old living in the community and half of those over 85 fall at least once a year. Despite their frequency, falls should not be trivialized, as they are associated with significant morbidity and care expenditure: 10 %of falls have severe traumatic consequences, and 30 % of hospital admissions for traumatic injury among elderly individuals are due to falls. Even when they have no physical repercussions, falls can have psychological effects (anxiety while walking, fear of falling), and can be complicated by a psychomotor disadaptation syndrome with voluntary restriction of activities of daily living in 30 % of cases. Risk factors for falls are numerous, and falls are rarely due a single, precise reason. Recurrent falls are associated with balance and gait impairment and decreased muscle strength, sometimes due to a latent pathological condition. Factors that may favor falls in the home must be taken into account through targeted prevention actions. Among institutionalized populations, the risk of falls increases with the severity of dementia, the use of certain drugs (particularly psychotropics) and the existence of wasting, which leads to a decline in quadriceps strength. About 1.5 % of all health expenditure is related to falls. The majority of these costs are due to hospitalization, fractures of the proximal femur being the most costly complication. In recent years, thanks to the prevention of both osteoporosis and falls, the annual number of hip fractures has been stable at about 79 500 cases per year, standardized hospitalization rates have declined, and the average length of stay has decreased. With the increasing number of elderly people, one priority to reduce healthcare costs is to identify and correct factors of frailty in midlife, using a preventive approach.","container-title":"Bulletin de l'Académie Nationale de Médecine","DOI":"10.1016/S0001-4079(19)31256-7","ISSN":"0001-4079","issue":"6","journalAbbreviation":"Bulletin de l'Académie Nationale de Médecine","page":"1025-1039","source":"ScienceDirect","title":"Épidémiologie, morbidité, mortalité, coût pour la société et pour l’individu, principales causes de la chute","volume":"198","author":[{"family":"Gonthier","given":"Régis"}],"issued":{"date-parts":[["2014",6,1]]}}}],"schema":"https://github.com/citation-style-language/schema/raw/master/csl-citation.json"} </w:instrText>
      </w:r>
      <w:r w:rsidR="00C16EC5">
        <w:fldChar w:fldCharType="separate"/>
      </w:r>
      <w:r w:rsidR="00C16EC5">
        <w:rPr>
          <w:noProof/>
        </w:rPr>
        <w:t>(Gonthier, 2014)</w:t>
      </w:r>
      <w:r w:rsidR="00C16EC5">
        <w:fldChar w:fldCharType="end"/>
      </w:r>
      <w:r w:rsidR="00674D4F">
        <w:t>.</w:t>
      </w:r>
      <w:r w:rsidR="00C16EC5">
        <w:t xml:space="preserve"> </w:t>
      </w:r>
      <w:r w:rsidR="00674D4F">
        <w:t xml:space="preserve"> 1 personne âgée sur 3 chute</w:t>
      </w:r>
      <w:r w:rsidR="00821A0B">
        <w:t xml:space="preserve"> </w:t>
      </w:r>
      <w:r w:rsidR="00674D4F">
        <w:t>chaque année en France</w:t>
      </w:r>
      <w:r w:rsidR="00260D87">
        <w:t xml:space="preserve"> et plus de 130 000 personnes sont hospitalisé</w:t>
      </w:r>
      <w:r w:rsidR="00821A0B">
        <w:t>e</w:t>
      </w:r>
      <w:r w:rsidR="00260D87">
        <w:t>s à la suite de ces épisodes</w:t>
      </w:r>
      <w:r w:rsidR="0099540F">
        <w:t xml:space="preserve"> </w:t>
      </w:r>
      <w:r w:rsidR="0099540F">
        <w:fldChar w:fldCharType="begin"/>
      </w:r>
      <w:r w:rsidR="00A206B8">
        <w:instrText xml:space="preserve"> ADDIN ZOTERO_ITEM CSL_CITATION {"citationID":"KoaOwNOj","properties":{"formattedCitation":"(Verg\\uc0\\u233{} et al., 2024a)","plainCitation":"(Vergé et al., 2024a)","noteIndex":0},"citationItems":[{"id":254,"uris":["http://zotero.org/users/10583480/items/FQBLVUAZ"],"itemData":{"id":254,"type":"article-journal","container-title":"Santé Publique","DOI":"10.3917/spub.hs1.2024.0100","ISSN":"0995-3914","issue":"HS1","language":"fr","note":"publisher: S.F.S.P.","page":"100-100","source":"stm.cairn.info","title":"Plan Antichute des personnes âgées : diagnostic territorial des actions existantes en lien avec la prévention des chutes et/ou du parcours chuteur en région Auvergne Rhône-Alpes","title-short":"Plan Antichute des personnes âgées","volume":"36","author":[{"family":"Vergé","given":"Charlotte"},{"family":"Dorier","given":"Solène"},{"family":"Addario","given":"Alexandra"},{"family":"Gavazzi","given":"Gaétan"},{"family":"Barth","given":"Nathalie"}],"issued":{"date-parts":[["2024",9,26]]}}}],"schema":"https://github.com/citation-style-language/schema/raw/master/csl-citation.json"} </w:instrText>
      </w:r>
      <w:r w:rsidR="0099540F">
        <w:fldChar w:fldCharType="separate"/>
      </w:r>
      <w:r w:rsidR="00A206B8" w:rsidRPr="00A206B8">
        <w:rPr>
          <w:rFonts w:ascii="Calibri" w:cs="Calibri"/>
          <w:szCs w:val="24"/>
        </w:rPr>
        <w:t>(Vergé et al., 2024a)</w:t>
      </w:r>
      <w:r w:rsidR="0099540F">
        <w:fldChar w:fldCharType="end"/>
      </w:r>
      <w:r w:rsidR="00AC0A5A">
        <w:t xml:space="preserve"> </w:t>
      </w:r>
      <w:r w:rsidR="00260D87">
        <w:t>.</w:t>
      </w:r>
      <w:r w:rsidR="00674D4F">
        <w:t xml:space="preserve"> Les chutes sont la principale cause de traumatismes physiques chez les plus de 70 ans et peuvent également avoir des répercussions psychiques et cognitives</w:t>
      </w:r>
      <w:r w:rsidR="009B07D3">
        <w:t xml:space="preserve"> </w:t>
      </w:r>
      <w:r w:rsidR="009B07D3">
        <w:fldChar w:fldCharType="begin"/>
      </w:r>
      <w:r w:rsidR="009B07D3">
        <w:instrText xml:space="preserve"> ADDIN ZOTERO_ITEM CSL_CITATION {"citationID":"SdgRWEY1","properties":{"formattedCitation":"(Blain et al., 2015)","plainCitation":"(Blain et al., 2015)","noteIndex":0},"citationItems":[{"id":299,"uris":["http://zotero.org/users/10583480/items/528IIS8M"],"itemData":{"id":299,"type":"article-journal","language":"fr","source":"Zotero","title":"Activité physique et prévention des chutes chez les personnes âgées","author":[{"family":"Blain","given":"Hubert"},{"family":"Bloch","given":"Frédéric"},{"family":"Borel","given":"Liliane"},{"family":"Dargent-Molina","given":"Patricia"},{"family":"Gauvain","given":"Jean Bernard"},{"family":"Hewson","given":"David"},{"family":"Orève","given":"Marie-Joëlle"},{"family":"Kemoun","given":"Gilles"},{"family":"Mourey","given":"France"},{"family":"Puisieux","given":"François"},{"family":"Rolland","given":"Yves"},{"family":"Stephan","given":"Yannick"}],"issued":{"date-parts":[["2015",1]]}}}],"schema":"https://github.com/citation-style-language/schema/raw/master/csl-citation.json"} </w:instrText>
      </w:r>
      <w:r w:rsidR="009B07D3">
        <w:fldChar w:fldCharType="separate"/>
      </w:r>
      <w:r w:rsidR="009B07D3">
        <w:rPr>
          <w:noProof/>
        </w:rPr>
        <w:t>(Blain et al., 2015)</w:t>
      </w:r>
      <w:r w:rsidR="009B07D3">
        <w:fldChar w:fldCharType="end"/>
      </w:r>
      <w:r w:rsidR="00674D4F">
        <w:t>.</w:t>
      </w:r>
      <w:r w:rsidR="00260D87">
        <w:t xml:space="preserve"> </w:t>
      </w:r>
    </w:p>
    <w:p w14:paraId="307E76B9" w14:textId="6ADFE934" w:rsidR="00260D87" w:rsidRDefault="00260D87" w:rsidP="001C18E0">
      <w:pPr>
        <w:spacing w:line="360" w:lineRule="auto"/>
        <w:ind w:firstLine="284"/>
        <w:jc w:val="both"/>
      </w:pPr>
      <w:r>
        <w:tab/>
        <w:t>L’étiologie des chutes est multifactorielle</w:t>
      </w:r>
      <w:r w:rsidR="0099540F">
        <w:t xml:space="preserve"> </w:t>
      </w:r>
      <w:r w:rsidR="0099540F">
        <w:fldChar w:fldCharType="begin"/>
      </w:r>
      <w:r w:rsidR="0099540F">
        <w:instrText xml:space="preserve"> ADDIN ZOTERO_ITEM CSL_CITATION {"citationID":"YerTxJpq","properties":{"formattedCitation":"(Innocent-Mutel &amp; Ponton, 2015)","plainCitation":"(Innocent-Mutel &amp; Ponton, 2015)","noteIndex":0},"citationItems":[{"id":250,"uris":["http://zotero.org/users/10583480/items/546TZBCV"],"itemData":{"id":250,"type":"chapter","container-title":"Manuel d'enseignement de psychomotricité","language":"fr","note":"DOI: 10.3917/dbu.albar.2015.01.0387","page":"387-404","publisher":"De Boeck Supérieur","source":"shs.cairn.info","title":"Chapitre 28. La prévention de la chute","URL":"https://shs.cairn.info/manuel-d-enseignement-de-psychomotricite--9782353273096-page-387","author":[{"family":"Innocent-Mutel","given":"Déborah"},{"family":"Ponton","given":"Geneviève"}],"accessed":{"date-parts":[["2025",1,6]]},"issued":{"date-parts":[["2015"]]}}}],"schema":"https://github.com/citation-style-language/schema/raw/master/csl-citation.json"} </w:instrText>
      </w:r>
      <w:r w:rsidR="0099540F">
        <w:fldChar w:fldCharType="separate"/>
      </w:r>
      <w:r w:rsidR="0099540F">
        <w:rPr>
          <w:noProof/>
        </w:rPr>
        <w:t>(Innocent-Mutel &amp; Ponton, 2015)</w:t>
      </w:r>
      <w:r w:rsidR="0099540F">
        <w:fldChar w:fldCharType="end"/>
      </w:r>
      <w:r>
        <w:t>. On distingue deux types de facteurs qui influent sur le risque de chute. D’une part</w:t>
      </w:r>
      <w:r w:rsidR="00821A0B">
        <w:t>,</w:t>
      </w:r>
      <w:r>
        <w:t xml:space="preserve"> les facteurs intrinsèques</w:t>
      </w:r>
      <w:r w:rsidR="00821A0B">
        <w:t xml:space="preserve"> </w:t>
      </w:r>
      <w:r>
        <w:t>liés à l’état de santé de la personne, où l’on retrouve notamment les troubles de l’équilibre ainsi q</w:t>
      </w:r>
      <w:r w:rsidR="009B07D3">
        <w:t>ue la</w:t>
      </w:r>
      <w:r>
        <w:t xml:space="preserve"> faiblesse musculaire et l’enraidissement des articulations</w:t>
      </w:r>
      <w:r w:rsidR="00E2740C">
        <w:t xml:space="preserve"> (figure 2)</w:t>
      </w:r>
      <w:r>
        <w:t>. D’autre part, les facteurs extrinsèques qui concernent l’environnement de l’individu</w:t>
      </w:r>
      <w:r w:rsidR="00DD4916">
        <w:t xml:space="preserve"> </w:t>
      </w:r>
      <w:r w:rsidR="00DD4916">
        <w:fldChar w:fldCharType="begin"/>
      </w:r>
      <w:r w:rsidR="00CF76AF">
        <w:instrText xml:space="preserve"> ADDIN ZOTERO_ITEM CSL_CITATION {"citationID":"VTTel4dh","properties":{"formattedCitation":"(Xing et al., 2023a)","plainCitation":"(Xing et al., 2023a)","noteIndex":0},"citationItems":[{"id":113,"uris":["http://zotero.org/users/10583480/items/FA4CFYDV"],"itemData":{"id":113,"type":"article-journal","abstract":"Falls are the main contributor to both fatal and nonfatal injuries in elderly individuals as well as significant sources of morbidity and mortality, which are mostly induced by impaired balance control. The ability to keep balance is a remarkably complex process that allows for rapid and precise changes to prevent falls with multiple systems involved, such as musculoskeletal system, the central nervous system and sensory system. However, the exact pathogenesis of falls caused by balance disorders in the elderly has eluded researchers to date. In consideration of aging phenomenon aggravation and fall risks in the elderly, there is an urgent need to explore the pathogenesis and treatments of falls caused by balance disorders in the elderly. The present review discusses the epidemiology of falls in the elderly, potential pathogenic mechanisms underlying multiple systems involved in falls caused by balance disorders, including musculoskeletal system, the central nervous system and sensory system. Meanwhile, some common treatment strategies, such as physical exercise, new equipment based on artificial intelligence, pharmacologic treatments and fall prevention education are also reviewed. To fully understand the pathogenesis and treatment of falls caused by balance disorders, a need remains for future large-scale multi-center randomized controlled trials and in-depth mechanism studies.","container-title":"Frontiers in Neurology","DOI":"10.3389/fneur.2023.1128092","ISSN":"1664-2295","journalAbbreviation":"Front Neurol","note":"PMID: 36908603\nPMCID: PMC9996061","page":"1128092","source":"PubMed Central","title":"Falls caused by balance disorders in the elderly with multiple systems involved: Pathogenic mechanisms and treatment strategies","title-short":"Falls caused by balance disorders in the elderly with multiple systems involved","volume":"14","author":[{"family":"Xing","given":"Liwei"},{"family":"Bao","given":"Yi"},{"family":"Wang","given":"Binyang"},{"family":"Shi","given":"Mingqin"},{"family":"Wei","given":"Yuanyuan"},{"family":"Huang","given":"Xiaoyi"},{"family":"Dai","given":"Youwu"},{"family":"Shi","given":"Hongling"},{"family":"Gai","given":"Xuesong"},{"family":"Luo","given":"Qiu"},{"family":"Yin","given":"Yong"},{"family":"Qin","given":"Dongdong"}],"issued":{"date-parts":[["2023",2,23]]}}}],"schema":"https://github.com/citation-style-language/schema/raw/master/csl-citation.json"} </w:instrText>
      </w:r>
      <w:r w:rsidR="00DD4916">
        <w:fldChar w:fldCharType="separate"/>
      </w:r>
      <w:r w:rsidR="00D27E0A">
        <w:rPr>
          <w:noProof/>
        </w:rPr>
        <w:t>(Xing et al., 2023a)</w:t>
      </w:r>
      <w:r w:rsidR="00DD4916">
        <w:fldChar w:fldCharType="end"/>
      </w:r>
    </w:p>
    <w:p w14:paraId="3C507B24" w14:textId="77777777" w:rsidR="00CF76AF" w:rsidRDefault="00CF76AF" w:rsidP="00CF76AF">
      <w:pPr>
        <w:keepNext/>
        <w:spacing w:line="360" w:lineRule="auto"/>
        <w:ind w:firstLine="284"/>
        <w:jc w:val="center"/>
      </w:pPr>
      <w:r>
        <w:rPr>
          <w:noProof/>
        </w:rPr>
        <w:lastRenderedPageBreak/>
        <w:drawing>
          <wp:inline distT="0" distB="0" distL="0" distR="0" wp14:anchorId="0D9DFACE" wp14:editId="11D8711F">
            <wp:extent cx="4776695" cy="3617407"/>
            <wp:effectExtent l="0" t="0" r="0" b="2540"/>
            <wp:docPr id="1650361674" name="Image 4" descr="Une image contenant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61674" name="Image 4" descr="Une image contenant texte&#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80648" cy="3696131"/>
                    </a:xfrm>
                    <a:prstGeom prst="rect">
                      <a:avLst/>
                    </a:prstGeom>
                  </pic:spPr>
                </pic:pic>
              </a:graphicData>
            </a:graphic>
          </wp:inline>
        </w:drawing>
      </w:r>
    </w:p>
    <w:p w14:paraId="0325663F" w14:textId="5E955DE9" w:rsidR="00CF76AF" w:rsidRDefault="00CF76AF" w:rsidP="00CF76AF">
      <w:pPr>
        <w:pStyle w:val="Lgende"/>
        <w:jc w:val="center"/>
      </w:pPr>
      <w:bookmarkStart w:id="13" w:name="_Toc221441341"/>
      <w:r>
        <w:t xml:space="preserve">Figure </w:t>
      </w:r>
      <w:r w:rsidR="006B2AE6">
        <w:fldChar w:fldCharType="begin"/>
      </w:r>
      <w:r w:rsidR="006B2AE6">
        <w:instrText xml:space="preserve"> SEQ Figure \* ARABIC </w:instrText>
      </w:r>
      <w:r w:rsidR="006B2AE6">
        <w:fldChar w:fldCharType="separate"/>
      </w:r>
      <w:r w:rsidR="00B93EA8">
        <w:rPr>
          <w:noProof/>
        </w:rPr>
        <w:t>2</w:t>
      </w:r>
      <w:r w:rsidR="006B2AE6">
        <w:rPr>
          <w:noProof/>
        </w:rPr>
        <w:fldChar w:fldCharType="end"/>
      </w:r>
      <w:r>
        <w:t xml:space="preserve">: Résumé des facteurs pathogènes impliquant la chute chez les personnes âgées </w:t>
      </w:r>
      <w:r>
        <w:fldChar w:fldCharType="begin"/>
      </w:r>
      <w:r>
        <w:instrText xml:space="preserve"> ADDIN ZOTERO_ITEM CSL_CITATION {"citationID":"zpfSU3jN","properties":{"formattedCitation":"(Xing et al., 2023b)","plainCitation":"(Xing et al., 2023b)","noteIndex":0},"citationItems":[{"id":280,"uris":["http://zotero.org/users/10583480/items/E6VDWAGT"],"itemData":{"id":280,"type":"article-journal","abstract":"Falls are the main contributor to both fatal and nonfatal injuries in elderly individuals as well as significant sources of morbidity and mortality, which are mostly induced by impaired balance control. The ability to keep balance is a remarkably complex process that allows for rapid and precise changes to prevent falls with multiple systems involved, such as musculoskeletal system, the central nervous system and sensory system. However, the exact pathogenesis of falls caused by balance disorders in the elderly has eluded researchers to date. In consideration of aging phenomenon aggravation and fall risks in the elderly, there is an urgent need to explore the pathogenesis and treatments of falls caused by balance disorders in the elderly. The present review discusses the epidemiology of falls in the elderly, potential pathogenic mechanisms underlying multiple systems involved in falls caused by balance disorders, including musculoskeletal system, the central nervous system and sensory system. Meanwhile, some common treatment strategies, such as physical exercise, new equipment based on artificial intelligence, pharmacologic treatments and fall prevention education are also reviewed. To fully understand the pathogenesis and treatment of falls caused by balance disorders, a need remains for future large-scale multi-center randomized controlled trials and in-depth mechanism studies.","container-title":"Frontiers in Neurology","DOI":"10.3389/fneur.2023.1128092","ISSN":"1664-2295","journalAbbreviation":"Front Neurol","note":"PMID: 36908603\nPMCID: PMC9996061","page":"1128092","source":"PubMed Central","title":"Falls caused by balance disorders in the elderly with multiple systems involved: Pathogenic mechanisms and treatment strategies","title-short":"Falls caused by balance disorders in the elderly with multiple systems involved","volume":"14","author":[{"family":"Xing","given":"Liwei"},{"family":"Bao","given":"Yi"},{"family":"Wang","given":"Binyang"},{"family":"Shi","given":"Mingqin"},{"family":"Wei","given":"Yuanyuan"},{"family":"Huang","given":"Xiaoyi"},{"family":"Dai","given":"Youwu"},{"family":"Shi","given":"Hongling"},{"family":"Gai","given":"Xuesong"},{"family":"Luo","given":"Qiu"},{"family":"Yin","given":"Yong"},{"family":"Qin","given":"Dongdong"}],"issued":{"date-parts":[["2023",2,23]]}}}],"schema":"https://github.com/citation-style-language/schema/raw/master/csl-citation.json"} </w:instrText>
      </w:r>
      <w:r>
        <w:fldChar w:fldCharType="separate"/>
      </w:r>
      <w:r w:rsidR="00D27E0A">
        <w:rPr>
          <w:noProof/>
        </w:rPr>
        <w:t>(Xing et al., 2023b)</w:t>
      </w:r>
      <w:bookmarkEnd w:id="13"/>
      <w:r>
        <w:fldChar w:fldCharType="end"/>
      </w:r>
    </w:p>
    <w:p w14:paraId="09C6F23D" w14:textId="72333272" w:rsidR="00260D87" w:rsidRDefault="0099540F" w:rsidP="001C18E0">
      <w:pPr>
        <w:spacing w:line="360" w:lineRule="auto"/>
        <w:ind w:firstLine="284"/>
        <w:jc w:val="both"/>
      </w:pPr>
      <w:r>
        <w:t>Les professionnels de santé</w:t>
      </w:r>
      <w:r w:rsidR="00D36183">
        <w:t xml:space="preserve">, notamment les kinésithérapeutes </w:t>
      </w:r>
      <w:r>
        <w:t xml:space="preserve">ont les capacités de pouvoir </w:t>
      </w:r>
      <w:r w:rsidR="00260D87">
        <w:t xml:space="preserve">influer sur </w:t>
      </w:r>
      <w:r w:rsidR="00821A0B">
        <w:t>c</w:t>
      </w:r>
      <w:r w:rsidR="00260D87">
        <w:t>es deux types de facteurs et notamment sur les intrinsèques</w:t>
      </w:r>
      <w:r w:rsidR="00D36183">
        <w:t xml:space="preserve"> en effectuant une rééducation adaptée </w:t>
      </w:r>
      <w:r w:rsidR="00D36183">
        <w:fldChar w:fldCharType="begin"/>
      </w:r>
      <w:r w:rsidR="00D36183">
        <w:instrText xml:space="preserve"> ADDIN ZOTERO_ITEM CSL_CITATION {"citationID":"CSOQ24ow","properties":{"formattedCitation":"(Verg\\uc0\\u233{} et al., 2024b)","plainCitation":"(Vergé et al., 2024b)","noteIndex":0},"citationItems":[{"id":356,"uris":["http://zotero.org/users/10583480/items/ZSA9QANU"],"itemData":{"id":356,"type":"article-journal","container-title":"Santé Publique","DOI":"10.3917/spub.hs1.2024.0100","ISSN":"0995-3914","issue":"HS1","language":"fr","note":"number: HS1\npublisher: S.F.S.P.","page":"100-100","source":"stm.cairn.info","title":"Plan Antichute des personnes âgées : diagnostic territorial des actions existantes en lien avec la prévention des chutes et/ou du parcours chuteur en région Auvergne Rhône-Alpes","title-short":"Plan Antichute des personnes âgées","volume":"36","author":[{"family":"Vergé","given":"Charlotte"},{"family":"Dorier","given":"Solène"},{"family":"Addario","given":"Alexandra"},{"family":"Gavazzi","given":"Gaétan"},{"family":"Barth","given":"Nathalie"}],"issued":{"date-parts":[["2024",9,26]]}}}],"schema":"https://github.com/citation-style-language/schema/raw/master/csl-citation.json"} </w:instrText>
      </w:r>
      <w:r w:rsidR="00D36183">
        <w:fldChar w:fldCharType="separate"/>
      </w:r>
      <w:r w:rsidR="00D36183" w:rsidRPr="00D36183">
        <w:rPr>
          <w:rFonts w:ascii="Calibri" w:cs="Calibri"/>
          <w:szCs w:val="24"/>
        </w:rPr>
        <w:t>(Vergé et al., 2024b)</w:t>
      </w:r>
      <w:r w:rsidR="00D36183">
        <w:fldChar w:fldCharType="end"/>
      </w:r>
      <w:r w:rsidR="00260D87">
        <w:t>. Le dépistage des risques de chute en fait partie</w:t>
      </w:r>
      <w:r w:rsidR="008A286E">
        <w:t xml:space="preserve"> afin de pouvoir améliorer la qualité de vie de la personne et </w:t>
      </w:r>
      <w:r w:rsidR="00821A0B">
        <w:t>adapter</w:t>
      </w:r>
      <w:r w:rsidR="008A286E">
        <w:t xml:space="preserve"> </w:t>
      </w:r>
      <w:r w:rsidR="00821A0B">
        <w:t xml:space="preserve">son </w:t>
      </w:r>
      <w:r w:rsidR="008A286E">
        <w:t>environnement pour permettre de réduire au maximum ce risqu</w:t>
      </w:r>
      <w:r w:rsidR="009B07D3">
        <w:t xml:space="preserve">e </w:t>
      </w:r>
      <w:r w:rsidR="009B07D3">
        <w:fldChar w:fldCharType="begin"/>
      </w:r>
      <w:r w:rsidR="009B07D3">
        <w:instrText xml:space="preserve"> ADDIN ZOTERO_ITEM CSL_CITATION {"citationID":"MJuW0ptI","properties":{"formattedCitation":"(Innocent-Mutel &amp; Ponton, 2015)","plainCitation":"(Innocent-Mutel &amp; Ponton, 2015)","noteIndex":0},"citationItems":[{"id":250,"uris":["http://zotero.org/users/10583480/items/546TZBCV"],"itemData":{"id":250,"type":"chapter","container-title":"Manuel d'enseignement de psychomotricité","language":"fr","note":"DOI: 10.3917/dbu.albar.2015.01.0387","page":"387-404","publisher":"De Boeck Supérieur","source":"shs.cairn.info","title":"Chapitre 28. La prévention de la chute","URL":"https://shs.cairn.info/manuel-d-enseignement-de-psychomotricite--9782353273096-page-387","author":[{"family":"Innocent-Mutel","given":"Déborah"},{"family":"Ponton","given":"Geneviève"}],"accessed":{"date-parts":[["2025",1,6]]},"issued":{"date-parts":[["2015"]]}}}],"schema":"https://github.com/citation-style-language/schema/raw/master/csl-citation.json"} </w:instrText>
      </w:r>
      <w:r w:rsidR="009B07D3">
        <w:fldChar w:fldCharType="separate"/>
      </w:r>
      <w:r w:rsidR="009B07D3">
        <w:rPr>
          <w:noProof/>
        </w:rPr>
        <w:t>(Innocent-Mutel &amp; Ponton, 2015)</w:t>
      </w:r>
      <w:r w:rsidR="009B07D3">
        <w:fldChar w:fldCharType="end"/>
      </w:r>
      <w:r w:rsidR="008A286E">
        <w:t>.</w:t>
      </w:r>
    </w:p>
    <w:p w14:paraId="32574F0E" w14:textId="77777777" w:rsidR="00DD4916" w:rsidRDefault="00DD4916" w:rsidP="001C18E0">
      <w:pPr>
        <w:spacing w:line="360" w:lineRule="auto"/>
        <w:ind w:firstLine="284"/>
        <w:jc w:val="both"/>
      </w:pPr>
    </w:p>
    <w:p w14:paraId="46E65190" w14:textId="2B3461AA" w:rsidR="008A286E" w:rsidRDefault="008A286E" w:rsidP="001C18E0">
      <w:pPr>
        <w:pStyle w:val="Titre3"/>
        <w:spacing w:line="360" w:lineRule="auto"/>
        <w:jc w:val="both"/>
      </w:pPr>
      <w:bookmarkStart w:id="14" w:name="_Toc221704614"/>
      <w:r>
        <w:t>Le plan antichute</w:t>
      </w:r>
      <w:bookmarkEnd w:id="14"/>
      <w:r>
        <w:t xml:space="preserve"> </w:t>
      </w:r>
    </w:p>
    <w:p w14:paraId="1A178AB4" w14:textId="73C2BBF7" w:rsidR="007E34A8" w:rsidRDefault="0099540F" w:rsidP="001C18E0">
      <w:pPr>
        <w:spacing w:line="360" w:lineRule="auto"/>
        <w:ind w:firstLine="284"/>
        <w:jc w:val="both"/>
      </w:pPr>
      <w:r>
        <w:t>D</w:t>
      </w:r>
      <w:r w:rsidR="006719F9">
        <w:t>epuis 2022, la France met en place le plan antichute qui vise à réduire de 20% les chutes mortelles chez les PA</w:t>
      </w:r>
      <w:r>
        <w:t xml:space="preserve"> </w:t>
      </w:r>
      <w:r>
        <w:fldChar w:fldCharType="begin"/>
      </w:r>
      <w:r w:rsidR="00A206B8">
        <w:instrText xml:space="preserve"> ADDIN ZOTERO_ITEM CSL_CITATION {"citationID":"hldNtaaL","properties":{"formattedCitation":"(Verg\\uc0\\u233{} et al., 2024a)","plainCitation":"(Vergé et al., 2024a)","noteIndex":0},"citationItems":[{"id":254,"uris":["http://zotero.org/users/10583480/items/FQBLVUAZ"],"itemData":{"id":254,"type":"article-journal","container-title":"Santé Publique","DOI":"10.3917/spub.hs1.2024.0100","ISSN":"0995-3914","issue":"HS1","language":"fr","note":"publisher: S.F.S.P.","page":"100-100","source":"stm.cairn.info","title":"Plan Antichute des personnes âgées : diagnostic territorial des actions existantes en lien avec la prévention des chutes et/ou du parcours chuteur en région Auvergne Rhône-Alpes","title-short":"Plan Antichute des personnes âgées","volume":"36","author":[{"family":"Vergé","given":"Charlotte"},{"family":"Dorier","given":"Solène"},{"family":"Addario","given":"Alexandra"},{"family":"Gavazzi","given":"Gaétan"},{"family":"Barth","given":"Nathalie"}],"issued":{"date-parts":[["2024",9,26]]}}}],"schema":"https://github.com/citation-style-language/schema/raw/master/csl-citation.json"} </w:instrText>
      </w:r>
      <w:r>
        <w:fldChar w:fldCharType="separate"/>
      </w:r>
      <w:r w:rsidR="00A206B8" w:rsidRPr="00A206B8">
        <w:rPr>
          <w:rFonts w:ascii="Calibri" w:cs="Calibri"/>
          <w:szCs w:val="24"/>
        </w:rPr>
        <w:t>(Vergé et al., 2024a)</w:t>
      </w:r>
      <w:r>
        <w:fldChar w:fldCharType="end"/>
      </w:r>
      <w:r w:rsidR="006719F9">
        <w:t xml:space="preserve">. Ce plan s’articule autour de 5 axes : </w:t>
      </w:r>
    </w:p>
    <w:p w14:paraId="2895AE19" w14:textId="4EAF7085" w:rsidR="007E34A8" w:rsidRDefault="007E34A8" w:rsidP="001C18E0">
      <w:pPr>
        <w:pStyle w:val="Paragraphedeliste"/>
        <w:numPr>
          <w:ilvl w:val="0"/>
          <w:numId w:val="12"/>
        </w:numPr>
        <w:spacing w:line="360" w:lineRule="auto"/>
        <w:jc w:val="both"/>
      </w:pPr>
      <w:r>
        <w:t>Le</w:t>
      </w:r>
      <w:r w:rsidR="006719F9">
        <w:t xml:space="preserve"> dépistage </w:t>
      </w:r>
      <w:r w:rsidR="00821A0B">
        <w:t xml:space="preserve">du risque </w:t>
      </w:r>
      <w:r w:rsidR="006719F9">
        <w:t>de chute</w:t>
      </w:r>
      <w:r w:rsidR="00821A0B">
        <w:t>s</w:t>
      </w:r>
    </w:p>
    <w:p w14:paraId="616A18E9" w14:textId="4F04B41A" w:rsidR="007E34A8" w:rsidRDefault="007E34A8" w:rsidP="001C18E0">
      <w:pPr>
        <w:pStyle w:val="Paragraphedeliste"/>
        <w:numPr>
          <w:ilvl w:val="0"/>
          <w:numId w:val="12"/>
        </w:numPr>
        <w:spacing w:line="360" w:lineRule="auto"/>
        <w:jc w:val="both"/>
      </w:pPr>
      <w:r>
        <w:t>L’aménagement</w:t>
      </w:r>
      <w:r w:rsidR="006719F9">
        <w:t xml:space="preserve"> de l’environnemen</w:t>
      </w:r>
      <w:r w:rsidR="0054762C">
        <w:t>t</w:t>
      </w:r>
    </w:p>
    <w:p w14:paraId="3FCF7CA0" w14:textId="3D3ECC21" w:rsidR="007E34A8" w:rsidRDefault="007E34A8" w:rsidP="001C18E0">
      <w:pPr>
        <w:pStyle w:val="Paragraphedeliste"/>
        <w:numPr>
          <w:ilvl w:val="0"/>
          <w:numId w:val="12"/>
        </w:numPr>
        <w:spacing w:line="360" w:lineRule="auto"/>
        <w:jc w:val="both"/>
      </w:pPr>
      <w:r>
        <w:t>Les</w:t>
      </w:r>
      <w:r w:rsidR="006719F9">
        <w:t xml:space="preserve"> aides techniques disponibles</w:t>
      </w:r>
    </w:p>
    <w:p w14:paraId="3B75971C" w14:textId="15BC661E" w:rsidR="007E34A8" w:rsidRDefault="007E34A8" w:rsidP="001C18E0">
      <w:pPr>
        <w:pStyle w:val="Paragraphedeliste"/>
        <w:numPr>
          <w:ilvl w:val="0"/>
          <w:numId w:val="12"/>
        </w:numPr>
        <w:spacing w:line="360" w:lineRule="auto"/>
        <w:jc w:val="both"/>
      </w:pPr>
      <w:r>
        <w:t>L’activité</w:t>
      </w:r>
      <w:r w:rsidR="006719F9">
        <w:t xml:space="preserve"> physique </w:t>
      </w:r>
    </w:p>
    <w:p w14:paraId="35EBDA7E" w14:textId="3C7BAF82" w:rsidR="007E34A8" w:rsidRDefault="007E34A8" w:rsidP="001C18E0">
      <w:pPr>
        <w:pStyle w:val="Paragraphedeliste"/>
        <w:numPr>
          <w:ilvl w:val="0"/>
          <w:numId w:val="12"/>
        </w:numPr>
        <w:spacing w:line="360" w:lineRule="auto"/>
        <w:jc w:val="both"/>
      </w:pPr>
      <w:r>
        <w:t>La</w:t>
      </w:r>
      <w:r w:rsidR="006719F9">
        <w:t xml:space="preserve"> téléassistance</w:t>
      </w:r>
    </w:p>
    <w:p w14:paraId="672B1889" w14:textId="59AB0CAC" w:rsidR="007E34A8" w:rsidRPr="007E34A8" w:rsidRDefault="006719F9" w:rsidP="001C18E0">
      <w:pPr>
        <w:spacing w:line="360" w:lineRule="auto"/>
        <w:jc w:val="both"/>
      </w:pPr>
      <w:r>
        <w:t>Un manuel a également été publié afin de proposer des exercices afin de travailler le maintien de l’équilibre</w:t>
      </w:r>
      <w:r w:rsidR="00055574">
        <w:t xml:space="preserve"> (</w:t>
      </w:r>
      <w:r w:rsidR="00055574">
        <w:fldChar w:fldCharType="begin"/>
      </w:r>
      <w:r w:rsidR="00E072F8">
        <w:instrText xml:space="preserve"> ADDIN ZOTERO_ITEM CSL_CITATION {"citationID":"R9nnePF1","properties":{"formattedCitation":"({\\i{}Plan antichute des personnes \\uc0\\u226{}g\\uc0\\u233{}es}, 2022)","plainCitation":"(Plan antichute des personnes âgées, 2022)","dontUpdate":true,"noteIndex":0},"citationItems":[{"id":183,"uris":["http://zotero.org/users/10583480/items/UZIBYKBR"],"itemData":{"id":183,"type":"webpage","abstract":"En France, les chutes des personnes âgées entraînent chaque année plus de 100 000 hospitalisations et plus de 10 000 décès. Ces chutes ont des conséquences physiques, psychologiques, sociales et marquent une rupture dans la vie des individus et une perte d’autonomie.","language":"fr","title":"Plan antichute des personnes âgées","URL":"https://solidarites.gouv.fr/plan-antichute-des-personnes-agees","accessed":{"date-parts":[["2024",12,16]]},"issued":{"date-parts":[["2022",2,21]]}},"label":"page"}],"schema":"https://github.com/citation-style-language/schema/raw/master/csl-citation.json"} </w:instrText>
      </w:r>
      <w:r w:rsidR="00055574">
        <w:fldChar w:fldCharType="separate"/>
      </w:r>
      <w:r w:rsidR="00DD4916" w:rsidRPr="007E34A8">
        <w:rPr>
          <w:rFonts w:ascii="Calibri" w:cs="Calibri"/>
          <w:i/>
          <w:iCs/>
        </w:rPr>
        <w:t>Plan antichute des personnes âgées</w:t>
      </w:r>
      <w:r w:rsidR="00DD4916" w:rsidRPr="007E34A8">
        <w:rPr>
          <w:rFonts w:ascii="Calibri" w:cs="Calibri"/>
        </w:rPr>
        <w:t>, 2022)</w:t>
      </w:r>
      <w:r w:rsidR="00055574">
        <w:fldChar w:fldCharType="end"/>
      </w:r>
      <w:r w:rsidR="007E34A8">
        <w:t>.</w:t>
      </w:r>
    </w:p>
    <w:p w14:paraId="5388719A" w14:textId="55D7E666" w:rsidR="00DD4916" w:rsidRDefault="00055574" w:rsidP="001C18E0">
      <w:pPr>
        <w:spacing w:line="360" w:lineRule="auto"/>
        <w:ind w:firstLine="284"/>
        <w:jc w:val="both"/>
      </w:pPr>
      <w:r>
        <w:lastRenderedPageBreak/>
        <w:t>Le plan antichute concerne une globalité de personnes. Il inclut les professionnels de santé, les aidants mais aussi les personnes âgées. Parmi tous les professionnels de santé, l</w:t>
      </w:r>
      <w:r w:rsidR="006719F9">
        <w:t>e masseur kinésithérapeute est amené à intervenir au niveau du premier axe</w:t>
      </w:r>
      <w:r w:rsidR="00D36183">
        <w:t xml:space="preserve"> (le dépistage des chutes)</w:t>
      </w:r>
      <w:r w:rsidR="006719F9">
        <w:t xml:space="preserve">. Il dispose des compétences </w:t>
      </w:r>
      <w:r>
        <w:t xml:space="preserve">et des outils techniques cliniques </w:t>
      </w:r>
      <w:r w:rsidR="006719F9">
        <w:t xml:space="preserve">permettant d’objectiver un potentiel risque de chute. </w:t>
      </w:r>
      <w:r>
        <w:t xml:space="preserve">Le MK joue donc un rôle préventif </w:t>
      </w:r>
      <w:r w:rsidR="00821A0B">
        <w:t xml:space="preserve">que ce soit en </w:t>
      </w:r>
      <w:r>
        <w:t xml:space="preserve">proposant des exercices de préventions, notamment sur le travail de l’équilibre, mais aussi en dépistant le risque à l’aide de ses tests cliniques.  Il pourrait réduire de 25% le risque de chute </w:t>
      </w:r>
      <w:r>
        <w:fldChar w:fldCharType="begin"/>
      </w:r>
      <w:r>
        <w:instrText xml:space="preserve"> ADDIN ZOTERO_ITEM CSL_CITATION {"citationID":"64in8w2P","properties":{"formattedCitation":"(\\uc0\\u171{}\\uc0\\u160{}Kin\\uc0\\u233{}sith\\uc0\\u233{}rapie et seniors\\uc0\\u160{}\\uc0\\u187{}, 2019)","plainCitation":"(« Kinésithérapie et seniors », 2019)","noteIndex":0},"citationItems":[{"id":187,"uris":["http://zotero.org/users/10583480/items/M5ARVJ4Y"],"itemData":{"id":187,"type":"post-weblog","abstract":"Avec l’avancée en âge, les seniors peuvent être touchés par des déficiences sensorielles, motrices et cognitives ainsi que par des pathologies chroniques limitant leurs activités quotidiennes.\nDans ce contexte de fragilisation mélangé d’un certain âgisme1 qui invite les seniors à la sédentarité, la","container-title":"Ordre des masseurs-kinésithérapeutes","language":"fr-FR","note":"section: Actualité des patients","title":"Kinésithérapie et seniors","URL":"https://www.ordremk.fr/actualites/patients/kinesitherapie-et-seniors/","accessed":{"date-parts":[["2024",12,16]]},"issued":{"date-parts":[["2019",4,1]]}}}],"schema":"https://github.com/citation-style-language/schema/raw/master/csl-citation.json"} </w:instrText>
      </w:r>
      <w:r>
        <w:fldChar w:fldCharType="separate"/>
      </w:r>
      <w:r w:rsidRPr="00055574">
        <w:rPr>
          <w:rFonts w:ascii="Calibri" w:cs="Calibri"/>
        </w:rPr>
        <w:t>(« Kinésithérapie et seniors », 2019)</w:t>
      </w:r>
      <w:r>
        <w:fldChar w:fldCharType="end"/>
      </w:r>
      <w:r>
        <w:t>.</w:t>
      </w:r>
    </w:p>
    <w:p w14:paraId="67587619" w14:textId="77777777" w:rsidR="00276BE6" w:rsidRDefault="00276BE6" w:rsidP="001C18E0">
      <w:pPr>
        <w:spacing w:line="360" w:lineRule="auto"/>
        <w:ind w:firstLine="284"/>
        <w:jc w:val="both"/>
      </w:pPr>
    </w:p>
    <w:p w14:paraId="27BE1225" w14:textId="6B692457" w:rsidR="002A2769" w:rsidRPr="002A2769" w:rsidRDefault="007A0B44" w:rsidP="001C18E0">
      <w:pPr>
        <w:pStyle w:val="Titre2"/>
        <w:spacing w:line="360" w:lineRule="auto"/>
        <w:jc w:val="both"/>
      </w:pPr>
      <w:bookmarkStart w:id="15" w:name="_Toc221704615"/>
      <w:r>
        <w:t>L’équilibre</w:t>
      </w:r>
      <w:bookmarkEnd w:id="15"/>
    </w:p>
    <w:p w14:paraId="55E1FCC6" w14:textId="22B39A2B" w:rsidR="0054762C" w:rsidRPr="0054762C" w:rsidRDefault="007A0B44" w:rsidP="001C18E0">
      <w:pPr>
        <w:pStyle w:val="Titre3"/>
        <w:spacing w:line="360" w:lineRule="auto"/>
        <w:jc w:val="both"/>
      </w:pPr>
      <w:bookmarkStart w:id="16" w:name="_Toc221704616"/>
      <w:r>
        <w:t>Le maintien de l’équilibre</w:t>
      </w:r>
      <w:bookmarkEnd w:id="16"/>
      <w:r>
        <w:t xml:space="preserve"> </w:t>
      </w:r>
    </w:p>
    <w:p w14:paraId="4A028702" w14:textId="67C0EB13" w:rsidR="002E3E7A" w:rsidRDefault="0054762C" w:rsidP="001C18E0">
      <w:pPr>
        <w:spacing w:line="360" w:lineRule="auto"/>
        <w:ind w:left="397" w:firstLine="227"/>
        <w:jc w:val="both"/>
      </w:pPr>
      <w:r>
        <w:t xml:space="preserve">L’équilibre </w:t>
      </w:r>
      <w:r w:rsidRPr="0054762C">
        <w:t xml:space="preserve"> </w:t>
      </w:r>
      <w:r w:rsidR="00875BC8">
        <w:t xml:space="preserve">est une fonction fondamentale pour le mouvement humain et peut-être défini comme « la capacité à maintenir ou à rétablir </w:t>
      </w:r>
      <w:r w:rsidR="002E3E7A">
        <w:t xml:space="preserve">la projection du centre de gravité </w:t>
      </w:r>
      <w:r w:rsidR="006043E9">
        <w:t xml:space="preserve">ou centre de masse </w:t>
      </w:r>
      <w:r w:rsidR="002E3E7A">
        <w:t>dans les limites de la base de sustentation, en situation statique ou dynamique</w:t>
      </w:r>
      <w:r w:rsidR="008E0722">
        <w:t> »</w:t>
      </w:r>
      <w:r w:rsidR="00D36183">
        <w:t xml:space="preserve"> (figure 3)</w:t>
      </w:r>
      <w:r w:rsidR="002E3E7A">
        <w:t xml:space="preserve"> </w:t>
      </w:r>
      <w:r w:rsidR="002E3E7A">
        <w:fldChar w:fldCharType="begin"/>
      </w:r>
      <w:r w:rsidR="002E3E7A">
        <w:instrText xml:space="preserve"> ADDIN ZOTERO_ITEM CSL_CITATION {"citationID":"6lhJaJRd","properties":{"formattedCitation":"(Fay B. Horak, 1997)","plainCitation":"(Fay B. Horak, 1997)","noteIndex":0},"citationItems":[{"id":191,"uris":["http://zotero.org/users/10583480/items/N2JGUVS5"],"itemData":{"id":191,"type":"article-journal","title":"Clinical assessment of balance disorders","author":[{"family":"Fay B. Horak","given":""}],"issued":{"date-parts":[["1997"]]}}}],"schema":"https://github.com/citation-style-language/schema/raw/master/csl-citation.json"} </w:instrText>
      </w:r>
      <w:r w:rsidR="002E3E7A">
        <w:fldChar w:fldCharType="separate"/>
      </w:r>
      <w:r w:rsidR="002E3E7A">
        <w:rPr>
          <w:noProof/>
        </w:rPr>
        <w:t>(Fay B. Horak, 1997)</w:t>
      </w:r>
      <w:r w:rsidR="002E3E7A">
        <w:fldChar w:fldCharType="end"/>
      </w:r>
      <w:r w:rsidR="002E3E7A">
        <w:t>. Cette capacité résulte d’une interaction continue entre la détection des perturbations, leur interprétation et la génération des réponses motrices adaptées</w:t>
      </w:r>
      <w:r w:rsidRPr="0054762C">
        <w:t xml:space="preserve"> </w:t>
      </w:r>
      <w:r w:rsidR="002E3E7A">
        <w:fldChar w:fldCharType="begin"/>
      </w:r>
      <w:r w:rsidR="002E3E7A">
        <w:instrText xml:space="preserve"> ADDIN ZOTERO_ITEM CSL_CITATION {"citationID":"qq6oYtLB","properties":{"formattedCitation":"(Yelnik, 2023)","plainCitation":"(Yelnik, 2023)","noteIndex":0},"citationItems":[{"id":208,"uris":["http://zotero.org/users/10583480/items/QIM4JUFE"],"itemData":{"id":208,"type":"article-journal","abstract":"Résumé\nLe médecin et le rééducateur s’interrogent quotidiennement devant un patient présentant un trouble de l’équilibre. Comprendre les ressources du système nerveux central (SNC) permet de mettre en œuvre les actions pour prévenir les chutes ou leur récidive. Car même si des facteurs externes environnementaux sont souvent incriminés et doivent être autant que possible éliminés, ils révèlent souvent une fragilité de l’équilibration. Le SNC doit orienter la tête et le tronc par rapport à la gravité, stabiliser le corps, anticiper les déséquilibres, contrôler les risques en se référant à sa mémoire des épisodes passés, en utilisant les programmes automatisés tels quels ou modulés et en s’adaptant à l’environnement. Chaque individu a ses propres schémas sensori-moteurs appelés « style perceptivo-moteur » qu’il faut identifier. Car la chute est souvent due à une réaction inappropriée ou à une prise de risque inadaptée à ses capacités. La notion de la conscience de prise de risque est essentielle, mettant en jeu les ressources cognitives. L’avancée en âge complique peu à peu la tâche par l’altération des capteurs et des effecteurs, le ralentissement de traitement de l’information. Mais bien que de nombreuses lésions puissent altérer les mécanismes d’équilibration, le SNC garde longtemps de remarquables possibilités d’adaptation. Nous proposons ici des règles générales comme bases à tout programme de rééducation, en plus des mesures spécifiques aux éventuelles déficiences.\nSummary\nPhysician and physical therapist are daily challenged by a patient with balance disorder. Understanding the resources of the central nervous system allows (CNS) makes it possible to implement measures to prevent falls and their recurrence. Even when they are external environmental factors, often incriminated and which should be eliminated as much as possible, they usually display frailty of the balance. The CNS has to direct head and trunk according to the gravity, stabilize the body, anticipate imbalance, control the risks by reference to previous experiences, using automatized programs modulated or not, and adaptating to the environment. Each individual has his or her own sensori-motor patterns called “perceptual-motor style” which has to be recognized. Falls are often due to an inappropriate reaction or due to a risk-taking behavior not adapted to the skills of the subject. This dimension of risk-taking is major, allowed by cognitive resources. The elderly slowly complicates balance control by the alteration of sensors and effectors and by the slowing of information processing. But despite many causes of balance disorders according to neurologic lesions, CNS keeps for a long time outstanding possibilities of adaptation. General rules for balance rehabilitation are suggested here, as a basis for every rehabilitation program, in addition to specific measures when needed by deficiencies.","container-title":"Bulletin de l'Académie Nationale de Médecine","DOI":"10.1016/j.banm.2023.02.008","ISSN":"0001-4079","issue":"5","journalAbbreviation":"Bulletin de l'Académie Nationale de Médecine","page":"649-660","source":"ScienceDirect","title":"Contrôle central de l’équilibre et prévention des chutes : impact sur la rééducation","title-short":"Contrôle central de l’équilibre et prévention des chutes","volume":"207","author":[{"family":"Yelnik","given":"A. P."}],"issued":{"date-parts":[["2023",5,1]]}}}],"schema":"https://github.com/citation-style-language/schema/raw/master/csl-citation.json"} </w:instrText>
      </w:r>
      <w:r w:rsidR="002E3E7A">
        <w:fldChar w:fldCharType="separate"/>
      </w:r>
      <w:r w:rsidR="002E3E7A">
        <w:rPr>
          <w:noProof/>
        </w:rPr>
        <w:t>(Yelnik, 2023)</w:t>
      </w:r>
      <w:r w:rsidR="002E3E7A">
        <w:fldChar w:fldCharType="end"/>
      </w:r>
      <w:r w:rsidR="002E3E7A">
        <w:t>. L’équilibre est un processus en constante régulation visant à anticiper, résister et répondre à un déséquilibre.</w:t>
      </w:r>
    </w:p>
    <w:p w14:paraId="500763C2" w14:textId="6F072F09" w:rsidR="006043E9" w:rsidRDefault="006043E9" w:rsidP="006043E9">
      <w:pPr>
        <w:keepNext/>
        <w:spacing w:line="360" w:lineRule="auto"/>
        <w:ind w:left="397" w:firstLine="227"/>
        <w:jc w:val="center"/>
      </w:pPr>
      <w:r>
        <w:rPr>
          <w:noProof/>
        </w:rPr>
        <w:drawing>
          <wp:inline distT="0" distB="0" distL="0" distR="0" wp14:anchorId="303A83EF" wp14:editId="6461C7F3">
            <wp:extent cx="3028336" cy="2090787"/>
            <wp:effectExtent l="0" t="0" r="0" b="5080"/>
            <wp:docPr id="1727569533" name="Image 3" descr="Une image contenant chaussures, habits, femme,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69533" name="Image 3" descr="Une image contenant chaussures, habits, femme, dessin humoristique&#10;&#10;Le contenu généré par l’IA peut êtr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8859" cy="2104956"/>
                    </a:xfrm>
                    <a:prstGeom prst="rect">
                      <a:avLst/>
                    </a:prstGeom>
                  </pic:spPr>
                </pic:pic>
              </a:graphicData>
            </a:graphic>
          </wp:inline>
        </w:drawing>
      </w:r>
    </w:p>
    <w:p w14:paraId="18586378" w14:textId="49776768" w:rsidR="00D36183" w:rsidRPr="00D36183" w:rsidRDefault="00D36183" w:rsidP="00D36183">
      <w:pPr>
        <w:jc w:val="center"/>
        <w:rPr>
          <w:i/>
          <w:iCs/>
          <w:sz w:val="18"/>
          <w:szCs w:val="18"/>
        </w:rPr>
      </w:pPr>
      <w:r>
        <w:rPr>
          <w:i/>
          <w:iCs/>
          <w:sz w:val="18"/>
          <w:szCs w:val="18"/>
        </w:rPr>
        <w:t>Légende</w:t>
      </w:r>
      <w:r>
        <w:rPr>
          <w:i/>
          <w:iCs/>
          <w:sz w:val="18"/>
          <w:szCs w:val="18"/>
        </w:rPr>
        <w:t xml:space="preserve"> : </w:t>
      </w:r>
      <w:proofErr w:type="spellStart"/>
      <w:proofErr w:type="gramStart"/>
      <w:r>
        <w:rPr>
          <w:i/>
          <w:iCs/>
          <w:sz w:val="18"/>
          <w:szCs w:val="18"/>
        </w:rPr>
        <w:t>CDM,Centre</w:t>
      </w:r>
      <w:proofErr w:type="spellEnd"/>
      <w:proofErr w:type="gramEnd"/>
      <w:r>
        <w:rPr>
          <w:i/>
          <w:iCs/>
          <w:sz w:val="18"/>
          <w:szCs w:val="18"/>
        </w:rPr>
        <w:t xml:space="preserve"> De Masse ; CDP, Centre De Pression</w:t>
      </w:r>
    </w:p>
    <w:p w14:paraId="63265F60" w14:textId="5D74E657" w:rsidR="006043E9" w:rsidRDefault="006043E9" w:rsidP="006043E9">
      <w:pPr>
        <w:pStyle w:val="Lgende"/>
        <w:jc w:val="center"/>
      </w:pPr>
      <w:bookmarkStart w:id="17" w:name="_Toc221441342"/>
      <w:r>
        <w:t xml:space="preserve">Figure </w:t>
      </w:r>
      <w:r w:rsidR="006B2AE6">
        <w:fldChar w:fldCharType="begin"/>
      </w:r>
      <w:r w:rsidR="006B2AE6">
        <w:instrText xml:space="preserve"> SEQ Figure \* ARABIC </w:instrText>
      </w:r>
      <w:r w:rsidR="006B2AE6">
        <w:fldChar w:fldCharType="separate"/>
      </w:r>
      <w:r w:rsidR="00B93EA8">
        <w:rPr>
          <w:noProof/>
        </w:rPr>
        <w:t>3</w:t>
      </w:r>
      <w:r w:rsidR="006B2AE6">
        <w:rPr>
          <w:noProof/>
        </w:rPr>
        <w:fldChar w:fldCharType="end"/>
      </w:r>
      <w:r>
        <w:t xml:space="preserve">: Représentation graphique du centre de masse et du centre de pression </w:t>
      </w:r>
      <w:r>
        <w:fldChar w:fldCharType="begin"/>
      </w:r>
      <w:r>
        <w:instrText xml:space="preserve"> ADDIN ZOTERO_ITEM CSL_CITATION {"citationID":"9Ml0DJPc","properties":{"formattedCitation":"(Pichon, 2023)","plainCitation":"(Pichon, 2023)","noteIndex":0},"citationItems":[{"id":210,"uris":["http://zotero.org/users/10583480/items/8YT7MAFS"],"itemData":{"id":210,"type":"article-journal","title":"Atteinte du contrôle postural chez les personnes avec BPCO : modifications, caractéristiques et activités de la vie quotidienne.","author":[{"family":"Pichon","given":""}],"issued":{"date-parts":[["2023"]]}}}],"schema":"https://github.com/citation-style-language/schema/raw/master/csl-citation.json"} </w:instrText>
      </w:r>
      <w:r>
        <w:fldChar w:fldCharType="separate"/>
      </w:r>
      <w:r>
        <w:rPr>
          <w:noProof/>
        </w:rPr>
        <w:t>(Pichon, 2023)</w:t>
      </w:r>
      <w:bookmarkEnd w:id="17"/>
      <w:r>
        <w:fldChar w:fldCharType="end"/>
      </w:r>
    </w:p>
    <w:p w14:paraId="30E29F22" w14:textId="77777777" w:rsidR="007613D4" w:rsidRPr="006043E9" w:rsidRDefault="007613D4" w:rsidP="006043E9">
      <w:pPr>
        <w:jc w:val="center"/>
        <w:rPr>
          <w:i/>
          <w:iCs/>
          <w:sz w:val="18"/>
          <w:szCs w:val="18"/>
        </w:rPr>
      </w:pPr>
    </w:p>
    <w:p w14:paraId="4E54CB97" w14:textId="67555826" w:rsidR="00276BE6" w:rsidRDefault="00276BE6" w:rsidP="001C18E0">
      <w:pPr>
        <w:spacing w:line="360" w:lineRule="auto"/>
        <w:ind w:left="397" w:firstLine="227"/>
        <w:jc w:val="both"/>
      </w:pPr>
      <w:r>
        <w:t xml:space="preserve">Le contrôle postural est défini comme l’ensemble des mécanismes neuromusculaires et des processus sensorimoteurs qui assure le maintien de l’équilibre </w:t>
      </w:r>
      <w:r>
        <w:fldChar w:fldCharType="begin"/>
      </w:r>
      <w:r>
        <w:instrText xml:space="preserve"> ADDIN ZOTERO_ITEM CSL_CITATION {"citationID":"NVT0yACk","properties":{"formattedCitation":"(Horak, 2006; Massion, 1994)","plainCitation":"(Horak, 2006; Massion, 1994)","noteIndex":0},"citationItems":[{"id":106,"uris":["http://zotero.org/users/10583480/items/XYLGCVFU"],"itemData":{"id":106,"type":"article-journal","abstract":"Postural control is no longer considered simply a summation of static reflexes but, rather, a complex skill based on the interaction of dynamic sensorimotor processes. The two main functional goals of postural behaviour are postural orientation and postural equilibrium. Postural orientation involves the active alignment of the trunk and head with respect to gravity, support surfaces, the visual surround and internal references. Sensory information from somatosensory, vestibular and visual systems is integrated, and the relative weights placed on each of these inputs are dependent on the goals of the movement task and the environmental context. Postural equilibrium involves the coordination of movement strategies to stabilise the centre of body mass during both self-initiated and externally triggered disturbances of stability. The specific response strategy selected depends not only on the characteristics of the external postural displacement but also on the individual’s expectations, goals and prior experience. Anticipatory postural adjustments, prior to voluntary limb movement, serve to maintain postural stability by compensating for destabilising forces associated with moving a limb. The amount of cognitive processing required for postural control depends both on the complexity of the postural task and on the capability of the subject’s postural control system. The control of posture involves many different underlying physiological systems that can be affected by pathology or sub-clinical constraints. Damage to any of the underlying systems will result in different, context-specific instabilities. The effective rehabilitation of balance to improve mobility and to prevent falls requires a better understanding of the multiple mechanisms underlying postural control.","container-title":"Age and Ageing","DOI":"10.1093/ageing/afl077","ISSN":"1468-2834, 0002-0729","issue":"suppl_2","language":"en","page":"ii7-ii11","source":"DOI.org (Crossref)","title":"Postural orientation and equilibrium: what do we need to know about neural control of balance to prevent falls?","title-short":"Postural orientation and equilibrium","volume":"35","author":[{"family":"Horak","given":"Fay B."}],"issued":{"date-parts":[["2006",9,1]]}}},{"id":381,"uris":["http://zotero.org/users/10583480/items/4ZBM5XM6"],"itemData":{"id":381,"type":"article-journal","abstract":"The postural control system has two main functions: first, to build up posture against gravity and ensure that balance is maintained; and second, to fix the orientation and position of the segments that serve as a reference frame for perception and action with respect to the external world. This dual function of postural control is based on four components: reference values, such as orientation of body segments and position of the center of gravity (an internal representation of the body or postural body scheme); multisensory inputs regulating orientation and stabilization of body segments; and flexible postural reactions or anticipations for balance recovery after disturbance, or postural stabilization during voluntary movement. The recent data related to the organization of this system will be discussed in normal subjects (during ontogenesis), the elderly and in patients with relevant deficits.","container-title":"Current Opinion in Neurobiology","DOI":"10.1016/0959-4388(94)90137-6","ISSN":"0959-4388","issue":"6","journalAbbreviation":"Current Opinion in Neurobiology","page":"877-887","source":"ScienceDirect","title":"Postural control system","volume":"4","author":[{"family":"Massion","given":"Jean"}],"issued":{"date-parts":[["1994",12,1]]}}}],"schema":"https://github.com/citation-style-language/schema/raw/master/csl-citation.json"} </w:instrText>
      </w:r>
      <w:r>
        <w:fldChar w:fldCharType="separate"/>
      </w:r>
      <w:r>
        <w:rPr>
          <w:noProof/>
        </w:rPr>
        <w:t>(Horak, 2006; Massion, 1994)</w:t>
      </w:r>
      <w:r>
        <w:fldChar w:fldCharType="end"/>
      </w:r>
      <w:r>
        <w:t xml:space="preserve">. Il est considéré comme un processus dynamique. Il prend en compte les ajustements réflexes mais intègre également les mouvements anticipatifs permettant à l’individu de mettre en œuvre un </w:t>
      </w:r>
      <w:r>
        <w:lastRenderedPageBreak/>
        <w:t xml:space="preserve">mouvement </w:t>
      </w:r>
      <w:r>
        <w:fldChar w:fldCharType="begin"/>
      </w:r>
      <w:r w:rsidR="00D27E0A">
        <w:instrText xml:space="preserve"> ADDIN ZOTERO_ITEM CSL_CITATION {"citationID":"9tYznzX5","properties":{"formattedCitation":"(Sibley et al., 2011a)","plainCitation":"(Sibley et al., 2011a)","noteIndex":0},"citationItems":[{"id":"yBnlN4SL/LMSJSRDo","uris":["http://zotero.org/users/10583480/items/D58IM6BR"],"itemData":{"id":"wOeGTKfT/WCFA7qPy","type":"article-journal","abstract":"Background\nBalance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fldChar w:fldCharType="separate"/>
      </w:r>
      <w:r w:rsidR="00D27E0A">
        <w:rPr>
          <w:noProof/>
        </w:rPr>
        <w:t>(Sibley et al., 2011a)</w:t>
      </w:r>
      <w:r>
        <w:fldChar w:fldCharType="end"/>
      </w:r>
      <w:r>
        <w:t xml:space="preserve">. Le contrôle postural est un processus influencé par l’expérience, l’environnement, l’état de santé général de l’individu et certains facteurs cognitifs </w:t>
      </w:r>
      <w:r>
        <w:fldChar w:fldCharType="begin"/>
      </w:r>
      <w:r>
        <w:instrText xml:space="preserve"> ADDIN ZOTERO_ITEM CSL_CITATION {"citationID":"DfvPXx8R","properties":{"formattedCitation":"(Pichon, 2023)","plainCitation":"(Pichon, 2023)","noteIndex":0},"citationItems":[{"id":210,"uris":["http://zotero.org/users/10583480/items/8YT7MAFS"],"itemData":{"id":210,"type":"article-journal","title":"Atteinte du contrôle postural chez les personnes avec BPCO : modifications, caractéristiques et activités de la vie quotidienne.","author":[{"family":"Pichon","given":""}],"issued":{"date-parts":[["2023"]]}}}],"schema":"https://github.com/citation-style-language/schema/raw/master/csl-citation.json"} </w:instrText>
      </w:r>
      <w:r>
        <w:fldChar w:fldCharType="separate"/>
      </w:r>
      <w:r>
        <w:rPr>
          <w:noProof/>
        </w:rPr>
        <w:t>(Pichon, 2023)</w:t>
      </w:r>
      <w:r>
        <w:fldChar w:fldCharType="end"/>
      </w:r>
      <w:r>
        <w:t xml:space="preserve">. </w:t>
      </w:r>
    </w:p>
    <w:p w14:paraId="284AB02D" w14:textId="28464A93" w:rsidR="003E597C" w:rsidRDefault="00276BE6" w:rsidP="001C18E0">
      <w:pPr>
        <w:spacing w:line="360" w:lineRule="auto"/>
        <w:ind w:left="397" w:firstLine="227"/>
        <w:jc w:val="both"/>
      </w:pPr>
      <w:r>
        <w:tab/>
      </w:r>
      <w:r w:rsidR="003039F5">
        <w:t xml:space="preserve">Le </w:t>
      </w:r>
      <w:r>
        <w:t>contrôle postural</w:t>
      </w:r>
      <w:r w:rsidR="003039F5">
        <w:t xml:space="preserve"> est un processus complexe alliant la coordination des composants sensoriel</w:t>
      </w:r>
      <w:r w:rsidR="00821A0B">
        <w:t>s</w:t>
      </w:r>
      <w:r w:rsidR="003039F5">
        <w:t xml:space="preserve"> et moteurs</w:t>
      </w:r>
      <w:r w:rsidR="0099540F">
        <w:t xml:space="preserve"> </w:t>
      </w:r>
      <w:r w:rsidR="0099540F">
        <w:fldChar w:fldCharType="begin"/>
      </w:r>
      <w:r w:rsidR="008A57AE">
        <w:instrText xml:space="preserve"> ADDIN ZOTERO_ITEM CSL_CITATION {"citationID":"l8E5UTKh","properties":{"formattedCitation":"(Yelnik, 2023)","plainCitation":"(Yelnik, 2023)","noteIndex":0},"citationItems":[{"id":208,"uris":["http://zotero.org/users/10583480/items/QIM4JUFE"],"itemData":{"id":208,"type":"article-journal","abstract":"Résumé\nLe médecin et le rééducateur s’interrogent quotidiennement devant un patient présentant un trouble de l’équilibre. Comprendre les ressources du système nerveux central (SNC) permet de mettre en œuvre les actions pour prévenir les chutes ou leur récidive. Car même si des facteurs externes environnementaux sont souvent incriminés et doivent être autant que possible éliminés, ils révèlent souvent une fragilité de l’équilibration. Le SNC doit orienter la tête et le tronc par rapport à la gravité, stabiliser le corps, anticiper les déséquilibres, contrôler les risques en se référant à sa mémoire des épisodes passés, en utilisant les programmes automatisés tels quels ou modulés et en s’adaptant à l’environnement. Chaque individu a ses propres schémas sensori-moteurs appelés « style perceptivo-moteur » qu’il faut identifier. Car la chute est souvent due à une réaction inappropriée ou à une prise de risque inadaptée à ses capacités. La notion de la conscience de prise de risque est essentielle, mettant en jeu les ressources cognitives. L’avancée en âge complique peu à peu la tâche par l’altération des capteurs et des effecteurs, le ralentissement de traitement de l’information. Mais bien que de nombreuses lésions puissent altérer les mécanismes d’équilibration, le SNC garde longtemps de remarquables possibilités d’adaptation. Nous proposons ici des règles générales comme bases à tout programme de rééducation, en plus des mesures spécifiques aux éventuelles déficiences.\nSummary\nPhysician and physical therapist are daily challenged by a patient with balance disorder. Understanding the resources of the central nervous system allows (CNS) makes it possible to implement measures to prevent falls and their recurrence. Even when they are external environmental factors, often incriminated and which should be eliminated as much as possible, they usually display frailty of the balance. The CNS has to direct head and trunk according to the gravity, stabilize the body, anticipate imbalance, control the risks by reference to previous experiences, using automatized programs modulated or not, and adaptating to the environment. Each individual has his or her own sensori-motor patterns called “perceptual-motor style” which has to be recognized. Falls are often due to an inappropriate reaction or due to a risk-taking behavior not adapted to the skills of the subject. This dimension of risk-taking is major, allowed by cognitive resources. The elderly slowly complicates balance control by the alteration of sensors and effectors and by the slowing of information processing. But despite many causes of balance disorders according to neurologic lesions, CNS keeps for a long time outstanding possibilities of adaptation. General rules for balance rehabilitation are suggested here, as a basis for every rehabilitation program, in addition to specific measures when needed by deficiencies.","container-title":"Bulletin de l'Académie Nationale de Médecine","DOI":"10.1016/j.banm.2023.02.008","ISSN":"0001-4079","issue":"5","journalAbbreviation":"Bulletin de l'Académie Nationale de Médecine","page":"649-660","source":"ScienceDirect","title":"Contrôle central de l’équilibre et prévention des chutes : impact sur la rééducation","title-short":"Contrôle central de l’équilibre et prévention des chutes","volume":"207","author":[{"family":"Yelnik","given":"A. P."}],"issued":{"date-parts":[["2023",5,1]]}}}],"schema":"https://github.com/citation-style-language/schema/raw/master/csl-citation.json"} </w:instrText>
      </w:r>
      <w:r w:rsidR="0099540F">
        <w:fldChar w:fldCharType="separate"/>
      </w:r>
      <w:r w:rsidR="008A57AE">
        <w:rPr>
          <w:noProof/>
        </w:rPr>
        <w:t>(Yelnik, 2023)</w:t>
      </w:r>
      <w:r w:rsidR="0099540F">
        <w:fldChar w:fldCharType="end"/>
      </w:r>
      <w:r w:rsidR="003039F5">
        <w:t>. La position du corps dans l’espace est ressentie grâce à la combinaison des systèmes optique, vestibulaire et somatosensoriel</w:t>
      </w:r>
      <w:r w:rsidR="009B07D3">
        <w:t xml:space="preserve"> </w:t>
      </w:r>
      <w:r w:rsidR="009B07D3">
        <w:fldChar w:fldCharType="begin"/>
      </w:r>
      <w:r w:rsidR="009B07D3">
        <w:instrText xml:space="preserve"> ADDIN ZOTERO_ITEM CSL_CITATION {"citationID":"L3yPaB3p","properties":{"formattedCitation":"(Sakka &amp; Vitte, 2004)","plainCitation":"(Sakka &amp; Vitte, 2004)","noteIndex":0},"citationItems":[{"id":385,"uris":["http://zotero.org/users/10583480/items/HGS4674K"],"itemData":{"id":385,"type":"article-journal","abstract":"Résumé\nLe système vestibulaire est un système complexe qui, en dehors du labyrinthe postérieur et des noyaux vestibulaires, met en jeu, pour assurer l’équilibre, les mouvements et la marche des structures centrales telles que le cervelet, le striatum, le thalamus, le cortex frontal et pré-frontal. Les informations qui arrivent au niveau des noyaux vestibulaires ne sont pas uniquement vestibulaires, mais aussi proprioceptives, visuelles et cérébelleuses. L’équilibre est donc lui aussi, une fonction complexe impliquant une concordance des informations vestibulaires, visuelles et proprioceptives ou une compensation par le système nerveux central après une lésion mais aussi une intégrité des structures centrales.\nSummary\nThe vestibular system is a complex system involving not only posterior labyrinth but also central structures such as cerebellum, striatum, thalamus, frontal and prefrontal cortex to assure balance, movements and walking. Information reaching the vestibular complex are not purely vestibular but also from visual, somatosensory and cerebellar origins. The equilibrium is also a complex physiological function needing concordance of vestibular, visual and somatosensory information or either central compensation after an injury but also an integrity of the central nervous system.","container-title":"Morphologie","DOI":"10.1016/S1286-0115(04)98134-9","ISSN":"1286-0115","issue":"282","journalAbbreviation":"Morphologie","page":"117-126","source":"ScienceDirect","title":"Anatomie et physiologie du système vestibulaire: Revue de la littérature","title-short":"Anatomie et physiologie du système vestibulaire","volume":"88","author":[{"family":"Sakka","given":"L."},{"family":"Vitte","given":"E."}],"issued":{"date-parts":[["2004",10,1]]}}}],"schema":"https://github.com/citation-style-language/schema/raw/master/csl-citation.json"} </w:instrText>
      </w:r>
      <w:r w:rsidR="009B07D3">
        <w:fldChar w:fldCharType="separate"/>
      </w:r>
      <w:r w:rsidR="009B07D3">
        <w:rPr>
          <w:noProof/>
        </w:rPr>
        <w:t>(Sakka &amp; Vitte, 2004)</w:t>
      </w:r>
      <w:r w:rsidR="009B07D3">
        <w:fldChar w:fldCharType="end"/>
      </w:r>
      <w:r w:rsidR="003039F5">
        <w:t>. Ces informations sont ensuite transmises au centr</w:t>
      </w:r>
      <w:r w:rsidR="00FA2EAD">
        <w:t>e</w:t>
      </w:r>
      <w:r w:rsidR="003039F5">
        <w:t xml:space="preserve"> d’intégration avant d’être envoyé</w:t>
      </w:r>
      <w:r w:rsidR="00821A0B">
        <w:t>es</w:t>
      </w:r>
      <w:r w:rsidR="003039F5">
        <w:t xml:space="preserve"> vers les muscles effecteurs qui permettent d’adapter la position du corps et de corriger un possible déséquilibre</w:t>
      </w:r>
      <w:r w:rsidR="00272E3D">
        <w:t xml:space="preserve">. </w:t>
      </w:r>
      <w:r w:rsidR="003E597C">
        <w:t>Les informations afférentes</w:t>
      </w:r>
      <w:r w:rsidR="00272E3D">
        <w:t xml:space="preserve"> sont </w:t>
      </w:r>
      <w:r w:rsidR="00173015">
        <w:t>accumulées et intégrées</w:t>
      </w:r>
      <w:r w:rsidR="00272E3D">
        <w:t xml:space="preserve"> au niveau </w:t>
      </w:r>
      <w:r w:rsidR="009B07D3">
        <w:t>d</w:t>
      </w:r>
      <w:r w:rsidR="00272E3D">
        <w:t>u système nerveux central</w:t>
      </w:r>
      <w:r w:rsidR="002E3E7A">
        <w:t xml:space="preserve"> </w:t>
      </w:r>
      <w:r w:rsidR="003039F5">
        <w:fldChar w:fldCharType="begin"/>
      </w:r>
      <w:r w:rsidR="00FA2EAD">
        <w:instrText xml:space="preserve"> ADDIN ZOTERO_ITEM CSL_CITATION {"citationID":"iHBSkJkc","properties":{"formattedCitation":"(Jacobson et al., 2020)","plainCitation":"(Jacobson et al., 2020)","noteIndex":0},"citationItems":[{"id":189,"uris":["http://zotero.org/users/10583480/items/TQUTD2CH"],"itemData":{"id":189,"type":"book","abstract":"THE BEST-SELLING BOOK ON THE TOPIC! The third edition of Balance Function Assessment and Management, the leading textbook on the subject, continues to comprehensively address the assessment and treatment of balance system impairments through contributions from top experts in the areas of dizziness and vertigo. Designed for use in graduate audiology programs and by practicing audiologists, this is also a valuable text for those in the fields of physical therapy, otolaryngology, and neurology.New to the Third Edition:* Reorganized with the expertise of four additional Editors: Kamran Barin, PhD, Robert F. Burkard, PhD, Kristen Janky, AuD, PhD, and Devin L. McCaslin, PhD* Three new chapters: An Historical Perspective of the Perception of Vertigo, Dizziness, and Vestibular Medicine (Zalewski); Vestibular Balance Therapy for Children (Christy); and Challenging Cases (Shepard)* All existing chapters have been revised and updated* An effort has been made to make the text more concise* Three new helpful appendices covering the pathophysiology behind dizziness, coding and billing, and an overview of Interprofessional Education (IPE) and Interprofessional Practice (IPP)Disclaimer: Please note that ancillary content (such as documents, audio, and video, etc.) may not be included as published in the original print version of this book.","ISBN":"978-1-63550-199-5","language":"en","note":"Google-Books-ID: lSzJDwAAQBAJ","number-of-pages":"734","publisher":"Plural Publishing","source":"Google Books","title":"Balance Function Assessment and Management, Third Edition","author":[{"family":"Jacobson","given":"Gary P."},{"family":"Shepard","given":"Neil T."},{"family":"Barin","given":"Kamran"},{"family":"Janky","given":"Kristen"},{"family":"McCaslin","given":"Devin L."}],"issued":{"date-parts":[["2020",1,20]]}}}],"schema":"https://github.com/citation-style-language/schema/raw/master/csl-citation.json"} </w:instrText>
      </w:r>
      <w:r w:rsidR="003039F5">
        <w:fldChar w:fldCharType="separate"/>
      </w:r>
      <w:r w:rsidR="00FA2EAD">
        <w:rPr>
          <w:noProof/>
        </w:rPr>
        <w:t>(Jacobson et al., 2020)</w:t>
      </w:r>
      <w:r w:rsidR="003039F5">
        <w:fldChar w:fldCharType="end"/>
      </w:r>
      <w:r w:rsidR="00FA2EAD">
        <w:t>.</w:t>
      </w:r>
    </w:p>
    <w:p w14:paraId="54DEF681" w14:textId="2302D20D" w:rsidR="003E597C" w:rsidRDefault="003E597C" w:rsidP="001C18E0">
      <w:pPr>
        <w:spacing w:line="360" w:lineRule="auto"/>
        <w:ind w:left="397" w:firstLine="227"/>
        <w:jc w:val="both"/>
      </w:pPr>
      <w:r>
        <w:t>Il est crucial de comprendre que le maintien de l’équilibre résulte de 3 étapes qui doivent être coordonnées</w:t>
      </w:r>
      <w:r w:rsidR="00821A0B">
        <w:t> : l</w:t>
      </w:r>
      <w:r>
        <w:t>a perception du stimulus par les capteurs sensoriels, l’intégration par le système nerveux central et la réponse musculaire</w:t>
      </w:r>
      <w:r w:rsidR="009B07D3">
        <w:t xml:space="preserve"> </w:t>
      </w:r>
      <w:r w:rsidR="009B07D3">
        <w:fldChar w:fldCharType="begin"/>
      </w:r>
      <w:r w:rsidR="009B07D3">
        <w:instrText xml:space="preserve"> ADDIN ZOTERO_ITEM CSL_CITATION {"citationID":"w8ymXsZT","properties":{"formattedCitation":"(dos\\uc0\\u160{}Santos et al., 2022)","plainCitation":"(dos Santos et al., 2022)","noteIndex":0},"citationItems":[{"id":387,"uris":["http://zotero.org/users/10583480/items/GXHWR9Q2"],"itemData":{"id":387,"type":"article-journal","abstract":"This study aimed to describe the prevalence of comorbidities associated with chronic obstructive pulmonary disease (COPD) and their relation with relevant outcomes. A systematic review based on the PRISMA methodology was performed from January 2020 until July 2021. The MEDLINE, Lilacs, and Scielo databases were searched to identify studies related to COPD and its comorbidities. Observational studies on the prevalence of comorbidities in COPD patients and costs with health estimates, reduced quality of life, and mortality were included. Studies that were restricted to one or more COPD pain assessments and only specific comorbidities such as osteoporosis, bronchitis, and asthma were excluded. The initial search identified 1,409 studies and after applying the inclusion and exclusion criteria, 20 studies were finally selected for analysis (comprising data from 447,459 COPD subjects). The most frequent COPD comorbidities were: hypertension (range, 17%–64.7%), coronary artery disease (19.9%–47.8%), diabetes (10.2%–45%), osteoarthritis (18%–43.8%), psychiatric conditions (12.1%–33%), and asthma (14.7%–32.5%). Several comorbidities had an impact on the frequency and severity of COPD exacerbations, quality of life, and mortality risk, in particular malignancies, coronary artery disease, chronic heart failure, and cardiac arrhythmias. Comorbidities, especially cardiovascular diseases and diabetes, are frequent in COPD patients, and some of them are associated with higher mortality.","container-title":"Tuberculosis and Respiratory Diseases","DOI":"10.4046/trd.2021.0179","ISSN":"1738-3536","issue":"3","journalAbbreviation":"Tuberc Respir Dis (Seoul)","note":"PMID: 35618259\nPMCID: PMC9263346","page":"205-220","source":"PubMed Central","title":"Prevalence and Impact of Comorbidities in Individuals with Chronic Obstructive Pulmonary Disease: A Systematic Review","title-short":"Prevalence and Impact of Comorbidities in Individuals with Chronic Obstructive Pulmonary Disease","volume":"85","author":[{"family":"Santos","given":"Natasha Cordeiro","non-dropping-particle":"dos"},{"family":"Miravitlles","given":"Marc"},{"family":"Camelier","given":"Aquiles Assunção"},{"family":"Almeida","given":"Victor Durier Cavalcanti","non-dropping-particle":"de"},{"family":"Maciel","given":"Roberto Rodrigues Bandeira Tosta"},{"family":"Camelier","given":"Fernanda Warken Rosa"}],"issued":{"date-parts":[["2022",7]]}}}],"schema":"https://github.com/citation-style-language/schema/raw/master/csl-citation.json"} </w:instrText>
      </w:r>
      <w:r w:rsidR="009B07D3">
        <w:fldChar w:fldCharType="separate"/>
      </w:r>
      <w:r w:rsidR="009B07D3" w:rsidRPr="009B07D3">
        <w:rPr>
          <w:rFonts w:ascii="Calibri" w:cs="Calibri"/>
        </w:rPr>
        <w:t>(dos Santos et al., 2022)</w:t>
      </w:r>
      <w:r w:rsidR="009B07D3">
        <w:fldChar w:fldCharType="end"/>
      </w:r>
      <w:r>
        <w:t xml:space="preserve">. </w:t>
      </w:r>
    </w:p>
    <w:p w14:paraId="380008AD" w14:textId="244D46CF" w:rsidR="00E0427F" w:rsidRDefault="003E597C" w:rsidP="00E0427F">
      <w:pPr>
        <w:spacing w:line="360" w:lineRule="auto"/>
        <w:ind w:left="397" w:firstLine="227"/>
        <w:jc w:val="both"/>
      </w:pPr>
      <w:r>
        <w:tab/>
        <w:t xml:space="preserve">Il existe 3 systèmes étant capable de percevoir un stimulus : le système optique, </w:t>
      </w:r>
      <w:r w:rsidR="00173015">
        <w:t>le système vestibulaire</w:t>
      </w:r>
      <w:r>
        <w:t xml:space="preserve"> et le système somato-sensoriel. Le système optique </w:t>
      </w:r>
      <w:r w:rsidR="00821A0B">
        <w:t xml:space="preserve">qui met </w:t>
      </w:r>
      <w:r>
        <w:t>principalemen</w:t>
      </w:r>
      <w:r w:rsidR="00821A0B">
        <w:t>t en jeu</w:t>
      </w:r>
      <w:r>
        <w:t xml:space="preserve"> la perception de l’œil et permet de se repérer par rapport à la verticalité et </w:t>
      </w:r>
      <w:r w:rsidR="00821A0B">
        <w:t>de percevoir le</w:t>
      </w:r>
      <w:r>
        <w:t xml:space="preserve"> mouvement. Le système somatosensoriel est composé des récepteurs cutanés</w:t>
      </w:r>
      <w:r w:rsidR="00821A0B">
        <w:t xml:space="preserve"> et </w:t>
      </w:r>
      <w:r>
        <w:t>des tendons</w:t>
      </w:r>
      <w:r w:rsidR="00173015">
        <w:t xml:space="preserve"> qui permettent de statuer sur la position des articulations dans l’espace. Enfin</w:t>
      </w:r>
      <w:r w:rsidR="00821A0B">
        <w:t>,</w:t>
      </w:r>
      <w:r w:rsidR="00173015">
        <w:t xml:space="preserve"> le système vestibulaire contient les organes otolitiques et les canaux semi-circulaire</w:t>
      </w:r>
      <w:r w:rsidR="00821A0B">
        <w:t>s</w:t>
      </w:r>
      <w:r w:rsidR="00173015">
        <w:t xml:space="preserve"> </w:t>
      </w:r>
      <w:r w:rsidR="00173015">
        <w:fldChar w:fldCharType="begin"/>
      </w:r>
      <w:r w:rsidR="00173015">
        <w:instrText xml:space="preserve"> ADDIN ZOTERO_ITEM CSL_CITATION {"citationID":"ouSp2Q34","properties":{"formattedCitation":"(Li et al., 2016)","plainCitation":"(Li et al., 2016)","noteIndex":0},"citationItems":[{"id":203,"uris":["http://zotero.org/users/10583480/items/9AFHF5LJ"],"itemData":{"id":203,"type":"article-journal","abstract":"[Purpose] This study was conducted to assess the reliability and validity of center of\npressure-based parameters for balance assessment. [Subjects and Methods] Two hundred and\nforty older adults were evaluated using a force platform and the Berg Balance Scale at\n1-week intervals. The intra-class correlation coefficient and the Pearson correlation\ncoefficient were used to test reliability and validity respectively. [Results] The\nreliability of the 12 selected center of pressure measures was satisfactory (intra-class\ncorrelation coefficient = 0.75–0.99) and the validity between the parameters and the Berg\nBalance Scale was moderate to good (r = −0.62 to −0.88). [Conclusion] Center of\npressure-based parameters are reliable and valid measures in older adults.","container-title":"Journal of Physical Therapy Science","DOI":"10.1589/jpts.28.1364","ISSN":"0915-5287","issue":"4","journalAbbreviation":"J Phys Ther Sci","note":"PMID: 27190484\nPMCID: PMC4868244","page":"1364-1367","source":"PubMed Central","title":"Reliability and validity of center of pressure measures for balance assessment in older adults","volume":"28","author":[{"family":"Li","given":"Zhen"},{"family":"Liang","given":"Yan-Yi"},{"family":"Wang","given":"Lei"},{"family":"Sheng","given":"Jing"},{"family":"Ma","given":"Shao-Jun"}],"issued":{"date-parts":[["2016",4]]}}}],"schema":"https://github.com/citation-style-language/schema/raw/master/csl-citation.json"} </w:instrText>
      </w:r>
      <w:r w:rsidR="00173015">
        <w:fldChar w:fldCharType="separate"/>
      </w:r>
      <w:r w:rsidR="00173015">
        <w:rPr>
          <w:noProof/>
        </w:rPr>
        <w:t>(Li et al., 2016)</w:t>
      </w:r>
      <w:r w:rsidR="00173015">
        <w:fldChar w:fldCharType="end"/>
      </w:r>
      <w:r w:rsidR="00E0427F">
        <w:t>.</w:t>
      </w:r>
    </w:p>
    <w:p w14:paraId="1008ABC6" w14:textId="3E97C8D9" w:rsidR="003E597C" w:rsidRDefault="000B365C" w:rsidP="00E0427F">
      <w:pPr>
        <w:spacing w:line="360" w:lineRule="auto"/>
        <w:ind w:left="397" w:firstLine="227"/>
        <w:jc w:val="both"/>
      </w:pPr>
      <w:r>
        <w:t>Le système nerveux central est la structure ayant la capacité d’intégr</w:t>
      </w:r>
      <w:r w:rsidR="00821A0B">
        <w:t>er</w:t>
      </w:r>
      <w:r>
        <w:t xml:space="preserve"> les informations perçues par les récepteurs sensoriels. Il doit analyser ces informations puis choisir, selon l’expérience vécue, les capacités intrinsèques de l’individu ou certains facteurs extrinsèques, une réponse adaptée pour maintenir l’équilibre. Le SNC doit être capable de transmettre l’informations vers les cellules effectrices afin de pouvoir rétablir l’alignement du centre de gravité et de la zone de support </w:t>
      </w:r>
      <w:r>
        <w:fldChar w:fldCharType="begin"/>
      </w:r>
      <w:r w:rsidR="00107BE6">
        <w:instrText xml:space="preserve"> ADDIN ZOTERO_ITEM CSL_CITATION {"citationID":"DxefvyeA","properties":{"formattedCitation":"(Pichon, 2023; Yelnik, 2023)","plainCitation":"(Pichon, 2023; Yelnik, 2023)","noteIndex":0},"citationItems":[{"id":210,"uris":["http://zotero.org/users/10583480/items/8YT7MAFS"],"itemData":{"id":210,"type":"article-journal","title":"Atteinte du contrôle postural chez les personnes avec BPCO : modifications, caractéristiques et activités de la vie quotidienne.","author":[{"family":"Pichon","given":""}],"issued":{"date-parts":[["2023"]]}}},{"id":208,"uris":["http://zotero.org/users/10583480/items/QIM4JUFE"],"itemData":{"id":208,"type":"article-journal","abstract":"Résumé\nLe médecin et le rééducateur s’interrogent quotidiennement devant un patient présentant un trouble de l’équilibre. Comprendre les ressources du système nerveux central (SNC) permet de mettre en œuvre les actions pour prévenir les chutes ou leur récidive. Car même si des facteurs externes environnementaux sont souvent incriminés et doivent être autant que possible éliminés, ils révèlent souvent une fragilité de l’équilibration. Le SNC doit orienter la tête et le tronc par rapport à la gravité, stabiliser le corps, anticiper les déséquilibres, contrôler les risques en se référant à sa mémoire des épisodes passés, en utilisant les programmes automatisés tels quels ou modulés et en s’adaptant à l’environnement. Chaque individu a ses propres schémas sensori-moteurs appelés « style perceptivo-moteur » qu’il faut identifier. Car la chute est souvent due à une réaction inappropriée ou à une prise de risque inadaptée à ses capacités. La notion de la conscience de prise de risque est essentielle, mettant en jeu les ressources cognitives. L’avancée en âge complique peu à peu la tâche par l’altération des capteurs et des effecteurs, le ralentissement de traitement de l’information. Mais bien que de nombreuses lésions puissent altérer les mécanismes d’équilibration, le SNC garde longtemps de remarquables possibilités d’adaptation. Nous proposons ici des règles générales comme bases à tout programme de rééducation, en plus des mesures spécifiques aux éventuelles déficiences.\nSummary\nPhysician and physical therapist are daily challenged by a patient with balance disorder. Understanding the resources of the central nervous system allows (CNS) makes it possible to implement measures to prevent falls and their recurrence. Even when they are external environmental factors, often incriminated and which should be eliminated as much as possible, they usually display frailty of the balance. The CNS has to direct head and trunk according to the gravity, stabilize the body, anticipate imbalance, control the risks by reference to previous experiences, using automatized programs modulated or not, and adaptating to the environment. Each individual has his or her own sensori-motor patterns called “perceptual-motor style” which has to be recognized. Falls are often due to an inappropriate reaction or due to a risk-taking behavior not adapted to the skills of the subject. This dimension of risk-taking is major, allowed by cognitive resources. The elderly slowly complicates balance control by the alteration of sensors and effectors and by the slowing of information processing. But despite many causes of balance disorders according to neurologic lesions, CNS keeps for a long time outstanding possibilities of adaptation. General rules for balance rehabilitation are suggested here, as a basis for every rehabilitation program, in addition to specific measures when needed by deficiencies.","container-title":"Bulletin de l'Académie Nationale de Médecine","DOI":"10.1016/j.banm.2023.02.008","ISSN":"0001-4079","issue":"5","journalAbbreviation":"Bulletin de l'Académie Nationale de Médecine","page":"649-660","source":"ScienceDirect","title":"Contrôle central de l’équilibre et prévention des chutes : impact sur la rééducation","title-short":"Contrôle central de l’équilibre et prévention des chutes","volume":"207","author":[{"family":"Yelnik","given":"A. P."}],"issued":{"date-parts":[["2023",5,1]]}}}],"schema":"https://github.com/citation-style-language/schema/raw/master/csl-citation.json"} </w:instrText>
      </w:r>
      <w:r>
        <w:fldChar w:fldCharType="separate"/>
      </w:r>
      <w:r w:rsidR="00107BE6">
        <w:rPr>
          <w:noProof/>
        </w:rPr>
        <w:t>(Pichon, 2023; Yelnik, 2023)</w:t>
      </w:r>
      <w:r>
        <w:fldChar w:fldCharType="end"/>
      </w:r>
      <w:r>
        <w:t>.</w:t>
      </w:r>
    </w:p>
    <w:p w14:paraId="1FAF4596" w14:textId="77777777" w:rsidR="00821A0B" w:rsidRDefault="00EA4C92" w:rsidP="001C18E0">
      <w:pPr>
        <w:spacing w:line="360" w:lineRule="auto"/>
        <w:ind w:left="397" w:firstLine="227"/>
        <w:jc w:val="both"/>
      </w:pPr>
      <w:r>
        <w:t xml:space="preserve">Le maintien postural a </w:t>
      </w:r>
      <w:r w:rsidR="00272E3D">
        <w:t xml:space="preserve">trois </w:t>
      </w:r>
      <w:r>
        <w:t>objectifs principaux :</w:t>
      </w:r>
    </w:p>
    <w:p w14:paraId="7D3856D3" w14:textId="4AB36F8A" w:rsidR="00821A0B" w:rsidRPr="00821A0B" w:rsidRDefault="00EA4C92" w:rsidP="00821A0B">
      <w:pPr>
        <w:pStyle w:val="Paragraphedeliste"/>
        <w:numPr>
          <w:ilvl w:val="0"/>
          <w:numId w:val="12"/>
        </w:numPr>
        <w:spacing w:line="360" w:lineRule="auto"/>
        <w:jc w:val="both"/>
        <w:rPr>
          <w:lang w:val="en-US"/>
        </w:rPr>
      </w:pPr>
      <w:r>
        <w:t xml:space="preserve"> </w:t>
      </w:r>
      <w:r w:rsidR="00821A0B">
        <w:t>L’orientation</w:t>
      </w:r>
      <w:r>
        <w:t xml:space="preserve"> postural</w:t>
      </w:r>
      <w:r w:rsidR="00821A0B">
        <w:t>e</w:t>
      </w:r>
      <w:r>
        <w:t xml:space="preserve"> qui désigne l’alignement actif du tronc et de la tête en prenant en compte la gravité, les surfaces d’appuis et les informations recueillis par les différents récepteurs sensoriels.</w:t>
      </w:r>
      <w:r w:rsidR="008A57AE">
        <w:t xml:space="preserve"> </w:t>
      </w:r>
    </w:p>
    <w:p w14:paraId="22C97BCD" w14:textId="77777777" w:rsidR="00821A0B" w:rsidRPr="00821A0B" w:rsidRDefault="008A57AE" w:rsidP="00821A0B">
      <w:pPr>
        <w:pStyle w:val="Paragraphedeliste"/>
        <w:numPr>
          <w:ilvl w:val="0"/>
          <w:numId w:val="12"/>
        </w:numPr>
        <w:spacing w:line="360" w:lineRule="auto"/>
        <w:jc w:val="both"/>
        <w:rPr>
          <w:lang w:val="en-US"/>
        </w:rPr>
      </w:pPr>
      <w:r>
        <w:t>L</w:t>
      </w:r>
      <w:r w:rsidR="00EA4C92">
        <w:t xml:space="preserve">’équilibre </w:t>
      </w:r>
      <w:r w:rsidR="00E10C9E">
        <w:t>postural</w:t>
      </w:r>
      <w:r w:rsidR="00EA4C92">
        <w:t xml:space="preserve"> défini par l’ensemble des stratégies de mouvement</w:t>
      </w:r>
      <w:r w:rsidR="00821A0B">
        <w:t>s</w:t>
      </w:r>
      <w:r w:rsidR="00EA4C92">
        <w:t xml:space="preserve"> </w:t>
      </w:r>
      <w:r w:rsidR="00E10C9E">
        <w:t>permettant</w:t>
      </w:r>
      <w:r w:rsidR="00EA4C92">
        <w:t xml:space="preserve"> de stabiliser la projection du centre de gravité </w:t>
      </w:r>
      <w:r w:rsidR="00E10C9E">
        <w:t>au-dessus</w:t>
      </w:r>
      <w:r w:rsidR="00EA4C92">
        <w:t xml:space="preserve"> du polygone de sustentation lors de perturbations de la </w:t>
      </w:r>
      <w:r w:rsidR="00E10C9E">
        <w:t>stabilité</w:t>
      </w:r>
      <w:r>
        <w:t xml:space="preserve"> </w:t>
      </w:r>
      <w:r>
        <w:fldChar w:fldCharType="begin"/>
      </w:r>
      <w:r>
        <w:instrText xml:space="preserve"> ADDIN ZOTERO_ITEM CSL_CITATION {"citationID":"eknFcKl6","properties":{"formattedCitation":"(Fay B. Horak, 1997)","plainCitation":"(Fay B. Horak, 1997)","noteIndex":0},"citationItems":[{"id":191,"uris":["http://zotero.org/users/10583480/items/N2JGUVS5"],"itemData":{"id":191,"type":"article-journal","title":"Clinical assessment of balance disorders","author":[{"family":"Fay B. Horak","given":""}],"issued":{"date-parts":[["1997"]]}}}],"schema":"https://github.com/citation-style-language/schema/raw/master/csl-citation.json"} </w:instrText>
      </w:r>
      <w:r>
        <w:fldChar w:fldCharType="separate"/>
      </w:r>
      <w:r>
        <w:rPr>
          <w:noProof/>
        </w:rPr>
        <w:t>(Fay B. Horak, 1997)</w:t>
      </w:r>
      <w:r>
        <w:fldChar w:fldCharType="end"/>
      </w:r>
      <w:r w:rsidR="00EA4C92">
        <w:t xml:space="preserve">. Ces perturbations peuvent être </w:t>
      </w:r>
      <w:r w:rsidR="00E10C9E">
        <w:t>de nature intrinsèque ou extrinsèque</w:t>
      </w:r>
      <w:r>
        <w:t>, c’est-à-dire qu’elles peuvent être volontaire</w:t>
      </w:r>
      <w:r w:rsidR="00821A0B">
        <w:t>s</w:t>
      </w:r>
      <w:r>
        <w:t xml:space="preserve"> ou non-anticipée</w:t>
      </w:r>
      <w:r w:rsidR="00821A0B">
        <w:t>s</w:t>
      </w:r>
      <w:r>
        <w:t xml:space="preserve"> </w:t>
      </w:r>
      <w:r>
        <w:lastRenderedPageBreak/>
        <w:t xml:space="preserve">par l’individu </w:t>
      </w:r>
      <w:r>
        <w:fldChar w:fldCharType="begin"/>
      </w:r>
      <w:r>
        <w:instrText xml:space="preserve"> ADDIN ZOTERO_ITEM CSL_CITATION {"citationID":"8rJVAihx","properties":{"formattedCitation":"(Beucher, 2021)","plainCitation":"(Beucher, 2021)","noteIndex":0},"citationItems":[{"id":264,"uris":["http://zotero.org/users/10583480/items/4IUE2UFC"],"itemData":{"id":264,"type":"article-journal","language":"fr","source":"Zotero","title":"Rééducation proprioceptive de l'entorse latérale de cheville: surface stable ou surface instable?","author":[{"family":"Beucher","given":"Jérémy"}],"issued":{"date-parts":[["2021"]]}}}],"schema":"https://github.com/citation-style-language/schema/raw/master/csl-citation.json"} </w:instrText>
      </w:r>
      <w:r>
        <w:fldChar w:fldCharType="separate"/>
      </w:r>
      <w:r>
        <w:rPr>
          <w:noProof/>
        </w:rPr>
        <w:t>(Beucher, 2021)</w:t>
      </w:r>
      <w:r>
        <w:fldChar w:fldCharType="end"/>
      </w:r>
      <w:r w:rsidR="00E10C9E">
        <w:t xml:space="preserve">. La stratégie de réponse </w:t>
      </w:r>
      <w:r w:rsidR="00821A0B">
        <w:t>est</w:t>
      </w:r>
      <w:r w:rsidR="00E10C9E">
        <w:t>, à la fois, adapté</w:t>
      </w:r>
      <w:r w:rsidR="00821A0B">
        <w:t>e</w:t>
      </w:r>
      <w:r w:rsidR="00E10C9E">
        <w:t xml:space="preserve"> au déplacement postural extérieur mais aussi de l’objectif de l’individu et son expérience face à une déstabilisation similaire. Les mouvements posturaux anticipés sont quant à eux des mouvements volontaires de certains membre</w:t>
      </w:r>
      <w:r w:rsidR="00821A0B">
        <w:t>s</w:t>
      </w:r>
      <w:r w:rsidR="00E10C9E">
        <w:t xml:space="preserve"> permettant de corriger un déséquilibre. Le contrôle de la posture implique plusieurs systèmes sous-jacents qui peuvent être affectés par </w:t>
      </w:r>
      <w:r w:rsidR="00272E3D">
        <w:t>une pathologie</w:t>
      </w:r>
      <w:r w:rsidR="00E10C9E">
        <w:t xml:space="preserve"> ou par le vieillissement</w:t>
      </w:r>
      <w:r w:rsidR="00272E3D">
        <w:t>.</w:t>
      </w:r>
      <w:r>
        <w:t xml:space="preserve"> </w:t>
      </w:r>
    </w:p>
    <w:p w14:paraId="2A6E8465" w14:textId="15C43247" w:rsidR="0059198E" w:rsidRPr="00821A0B" w:rsidRDefault="008A57AE" w:rsidP="00821A0B">
      <w:pPr>
        <w:pStyle w:val="Paragraphedeliste"/>
        <w:numPr>
          <w:ilvl w:val="0"/>
          <w:numId w:val="12"/>
        </w:numPr>
        <w:spacing w:line="360" w:lineRule="auto"/>
        <w:jc w:val="both"/>
        <w:rPr>
          <w:lang w:val="en-US"/>
        </w:rPr>
      </w:pPr>
      <w:r>
        <w:t>L</w:t>
      </w:r>
      <w:r w:rsidR="00272E3D">
        <w:t>a production de tonus postural, c’est-à-dire le tonus musculaire actif ou passif stabilisant les articulations et permettant au corps de lutter contre la gravité.</w:t>
      </w:r>
      <w:r w:rsidR="00E10C9E">
        <w:t xml:space="preserve"> </w:t>
      </w:r>
      <w:r w:rsidR="00E10C9E">
        <w:fldChar w:fldCharType="begin"/>
      </w:r>
      <w:r w:rsidR="006B142C">
        <w:instrText xml:space="preserve"> ADDIN ZOTERO_ITEM CSL_CITATION {"citationID":"5QvpjP3L","properties":{"formattedCitation":"(Fay B. Horak, 1997; Horak, 2006)","plainCitation":"(Fay B. Horak, 1997; Horak, 2006)","noteIndex":0},"citationItems":[{"id":191,"uris":["http://zotero.org/users/10583480/items/N2JGUVS5"],"itemData":{"id":191,"type":"article-journal","title":"Clinical assessment of balance disorders","author":[{"family":"Fay B. Horak","given":""}],"issued":{"date-parts":[["1997"]]}}},{"id":106,"uris":["http://zotero.org/users/10583480/items/XYLGCVFU"],"itemData":{"id":106,"type":"article-journal","abstract":"Postural control is no longer considered simply a summation of static reflexes but, rather, a complex skill based on the interaction of dynamic sensorimotor processes. The two main functional goals of postural behaviour are postural orientation and postural equilibrium. Postural orientation involves the active alignment of the trunk and head with respect to gravity, support surfaces, the visual surround and internal references. Sensory information from somatosensory, vestibular and visual systems is integrated, and the relative weights placed on each of these inputs are dependent on the goals of the movement task and the environmental context. Postural equilibrium involves the coordination of movement strategies to stabilise the centre of body mass during both self-initiated and externally triggered disturbances of stability. The sp</w:instrText>
      </w:r>
      <w:r w:rsidR="006B142C" w:rsidRPr="00821A0B">
        <w:rPr>
          <w:lang w:val="en-US"/>
        </w:rPr>
        <w:instrText xml:space="preserve">ecific response strategy selected depends not only on the characteristics of the external postural displacement but also on the individual’s expectations, goals and prior experience. Anticipatory postural adjustments, prior to voluntary limb movement, serve to maintain postural stability by compensating for destabilising forces associated with moving a limb. The amount of cognitive processing required for postural control depends both on the complexity of the postural task and on the capability of the subject’s postural control system. The control of posture involves many different underlying physiological systems that can be affected by pathology or sub-clinical constraints. Damage to any of the underlying systems will result in different, context-specific instabilities. The effective rehabilitation of balance to improve mobility and to prevent falls requires a better understanding of the multiple mechanisms underlying postural control.","container-title":"Age and Ageing","DOI":"10.1093/ageing/afl077","ISSN":"1468-2834, 0002-0729","issue":"suppl_2","language":"en","page":"ii7-ii11","source":"DOI.org (Crossref)","title":"Postural orientation and equilibrium: what do we need to know about neural control of balance to prevent falls?","title-short":"Postural orientation and equilibrium","volume":"35","author":[{"family":"Horak","given":"Fay B."}],"issued":{"date-parts":[["2006",9,1]]}}}],"schema":"https://github.com/citation-style-language/schema/raw/master/csl-citation.json"} </w:instrText>
      </w:r>
      <w:r w:rsidR="00E10C9E">
        <w:fldChar w:fldCharType="separate"/>
      </w:r>
      <w:r w:rsidR="006B142C" w:rsidRPr="00821A0B">
        <w:rPr>
          <w:noProof/>
          <w:lang w:val="en-US"/>
        </w:rPr>
        <w:t>(Fay B. Horak, 1997; Horak, 2006)</w:t>
      </w:r>
      <w:r w:rsidR="00E10C9E">
        <w:fldChar w:fldCharType="end"/>
      </w:r>
      <w:r w:rsidR="00E10C9E">
        <w:fldChar w:fldCharType="begin"/>
      </w:r>
      <w:r w:rsidR="00E072F8" w:rsidRPr="00821A0B">
        <w:rPr>
          <w:lang w:val="en-US"/>
        </w:rPr>
        <w:instrText xml:space="preserve"> ADDIN ZOTERO_ITEM CSL_CITATION {"citationID":"MGjbE0BJ","properties":{"formattedCitation":"(Horak, 2006)","plainCitation":"(Horak, 2006)","dontUpdate":true,"noteIndex":0},"citationItems":[{"id":106,"uris":["http://zotero.org/users/10583480/items/XYLGCVFU"],"itemData":{"id":106,"type":"article-journal","abstract":"Postural control is no longer considered simply a summation of static reflexes but, rather, a complex skill based on the interaction of dynamic sensorimotor processes. The two main functional goals of postural behaviour are postural orientation and postural equilibrium. Postural orientation involves the active alignment of the trunk and head with respect to gravity, support surfaces, the visual surround and internal references. Sensory information from somatosensory, vestibular and visual systems is integrated, and the relative weights placed on each of these inputs are dependent on the goals of the movement task and the environmental context. Postural equilibrium involves the coordination of movement strategies to stabilise the centre of body mass during both self-initiated and externally triggered disturbances of stability. The specific response strategy selected depends not only on the characteristics of the external postural displacement but also on the individual’s expectations, goals and prior experience. Anticipatory postural adjustments, prior to voluntary limb movement, serve to maintain postural stability by compensating for destabilising forces associated with moving a limb. The amount of cognitive processing required for postural control depends both on the complexity of the postural task and on the capability of the subject’s postural control system. The control of posture involves many different underlying physiological systems that can be affected by pathology or sub-clinical constraints. Damage to any of the underlying systems will result in different, context-specific instabilities. The effective rehabilitation of balance to improve mobility and to prevent falls requires a better understanding of the multiple mechanisms underlying postural control.","container-title":"Age and Ageing","DOI":"10.1093/ageing/afl077","ISSN":"1468-2834, 0002-0729","issue":"suppl_2","language":"en","page":"ii7-ii11","source":"DOI.org (Crossref)","title":"Postural orientation and equilibrium: what do we need to know about neural control of balance to prevent falls?","title-short":"Postural orientation and equilibrium","volume":"35","author":[{"family":"Horak","given":"Fay B."}],"issued":{"date-parts":[["2006",9,1]]}}}],"schema":"https://github.com/citation-style-language/schema/raw/master/csl-citation.json"} </w:instrText>
      </w:r>
      <w:r w:rsidR="00E10C9E">
        <w:fldChar w:fldCharType="separate"/>
      </w:r>
      <w:r w:rsidR="00E10C9E">
        <w:fldChar w:fldCharType="end"/>
      </w:r>
      <w:r w:rsidR="006B142C" w:rsidRPr="00821A0B">
        <w:rPr>
          <w:lang w:val="en-US"/>
        </w:rPr>
        <w:t xml:space="preserve"> </w:t>
      </w:r>
      <w:r w:rsidR="00E10C9E" w:rsidRPr="00821A0B">
        <w:rPr>
          <w:lang w:val="en-US"/>
        </w:rPr>
        <w:t xml:space="preserve">.  </w:t>
      </w:r>
    </w:p>
    <w:p w14:paraId="35178D21" w14:textId="269F2F2E" w:rsidR="00A17CF4" w:rsidRDefault="0059198E" w:rsidP="001C18E0">
      <w:pPr>
        <w:spacing w:line="360" w:lineRule="auto"/>
        <w:ind w:left="397" w:firstLine="227"/>
        <w:jc w:val="both"/>
      </w:pPr>
      <w:r w:rsidRPr="00EE2312">
        <w:rPr>
          <w:lang w:val="en-US"/>
        </w:rPr>
        <w:t xml:space="preserve">Horak </w:t>
      </w:r>
      <w:proofErr w:type="spellStart"/>
      <w:r w:rsidRPr="00EE2312">
        <w:rPr>
          <w:lang w:val="en-US"/>
        </w:rPr>
        <w:t>puis</w:t>
      </w:r>
      <w:proofErr w:type="spellEnd"/>
      <w:r w:rsidRPr="00EE2312">
        <w:rPr>
          <w:lang w:val="en-US"/>
        </w:rPr>
        <w:t xml:space="preserve"> Sibley</w:t>
      </w:r>
      <w:r w:rsidR="008A57AE" w:rsidRPr="00EE2312">
        <w:rPr>
          <w:lang w:val="en-US"/>
        </w:rPr>
        <w:t xml:space="preserve"> </w:t>
      </w:r>
      <w:proofErr w:type="spellStart"/>
      <w:r w:rsidR="00A17CF4" w:rsidRPr="00EE2312">
        <w:rPr>
          <w:lang w:val="en-US"/>
        </w:rPr>
        <w:t>ont</w:t>
      </w:r>
      <w:proofErr w:type="spellEnd"/>
      <w:r w:rsidRPr="00EE2312">
        <w:rPr>
          <w:lang w:val="en-US"/>
        </w:rPr>
        <w:t xml:space="preserve"> </w:t>
      </w:r>
      <w:proofErr w:type="spellStart"/>
      <w:r w:rsidRPr="00EE2312">
        <w:rPr>
          <w:lang w:val="en-US"/>
        </w:rPr>
        <w:t>pu</w:t>
      </w:r>
      <w:proofErr w:type="spellEnd"/>
      <w:r w:rsidRPr="00EE2312">
        <w:rPr>
          <w:lang w:val="en-US"/>
        </w:rPr>
        <w:t xml:space="preserve"> identifier 9 sous</w:t>
      </w:r>
      <w:r w:rsidR="00821A0B">
        <w:rPr>
          <w:lang w:val="en-US"/>
        </w:rPr>
        <w:t>-</w:t>
      </w:r>
      <w:r w:rsidRPr="00EE2312">
        <w:rPr>
          <w:lang w:val="en-US"/>
        </w:rPr>
        <w:t xml:space="preserve"> </w:t>
      </w:r>
      <w:proofErr w:type="spellStart"/>
      <w:r w:rsidRPr="00EE2312">
        <w:rPr>
          <w:lang w:val="en-US"/>
        </w:rPr>
        <w:t>composantes</w:t>
      </w:r>
      <w:proofErr w:type="spellEnd"/>
      <w:r w:rsidRPr="00EE2312">
        <w:rPr>
          <w:lang w:val="en-US"/>
        </w:rPr>
        <w:t xml:space="preserve"> du </w:t>
      </w:r>
      <w:proofErr w:type="spellStart"/>
      <w:r w:rsidRPr="00EE2312">
        <w:rPr>
          <w:lang w:val="en-US"/>
        </w:rPr>
        <w:t>maintien</w:t>
      </w:r>
      <w:proofErr w:type="spellEnd"/>
      <w:r w:rsidRPr="00EE2312">
        <w:rPr>
          <w:lang w:val="en-US"/>
        </w:rPr>
        <w:t xml:space="preserve"> de </w:t>
      </w:r>
      <w:proofErr w:type="spellStart"/>
      <w:r w:rsidRPr="00EE2312">
        <w:rPr>
          <w:lang w:val="en-US"/>
        </w:rPr>
        <w:t>l’équilibre</w:t>
      </w:r>
      <w:proofErr w:type="spellEnd"/>
      <w:r w:rsidR="008A57AE" w:rsidRPr="00EE2312">
        <w:rPr>
          <w:lang w:val="en-US"/>
        </w:rPr>
        <w:t xml:space="preserve"> </w:t>
      </w:r>
      <w:r w:rsidR="008A57AE">
        <w:fldChar w:fldCharType="begin"/>
      </w:r>
      <w:r w:rsidR="00D27E0A">
        <w:rPr>
          <w:lang w:val="en-US"/>
        </w:rPr>
        <w:instrText xml:space="preserve"> ADDIN ZOTERO_ITEM CSL_CITATION {"citationID":"agkQcni5","properties":{"formattedCitation":"(Horak, 2006; Sibley et al., 2011a)","plainCitation":"(Horak, 2006; Sibley et al., 2011a)","dontUpdate":true,"noteIndex":0},"citationItems":[{"id":106,"uris":["http://zotero.org/users/10583480/items/XYLGCVFU"],"itemData":{"id":106,"type":"article-journal","abstract":"Postural control is no longer considered simply a summation of static reflexes but, rather, a complex skill based on the interaction of dynamic sensorimotor processes. The two main functional goals of postural behaviour are postural orientation and postural equilibrium. Postural orientation involves the active alignment of the trunk and head with respect to gravity, support surfaces, the visual surround and internal references. Sensory information from somatosensory, vestibular and visual systems is integrated, and the relative weights placed on each of these inputs are dependent on the goals of the movement task and the environmental context. Postural equilibrium involves the coordination of movement strategies to stabilise the centre of body mass during both self-initiated and externally triggered disturbances of stability. The specific response strategy selected depends not only on the characteristics of the external postural displacement but also on the individual’s expectations, goals and prior experience. Anticipatory postural adjustments, prior to voluntary limb movement, serve to maintain postural stability by compensating for destabilising forces associated with moving a limb. The amount of cognitive processing required for postural control depends both on the complexity of the postural task and on the capability of the subject’s postural control system. The control of posture involves many different underlying physiological systems that can be affected by pathology or sub-clinical constraints. Damage to any of the underlying systems will result in different, context-specific instabilities. The effective rehabilitation of balance to improve mobility and to prevent falls requires a better understanding of the multiple mechanisms underlying postural control.","container-title":"Age and Ageing","DOI":"10.1093/ageing/afl077","ISSN":"1468-2834, 0002-0729","issue":"suppl_2","language":"en","page":"ii7-ii11","source":"DOI.org (Crossref)","title":"Postural orientation and equilibrium: what do we need to know about neural control of balance to prevent falls?","title-short":"Postural orientation and equilibrium","volume":"35","author":[{"family":"Horak","given":"Fay B."}],"issued":{"date-parts":[["2006",9,1]]}}},{"id":"yBnlN4SL/LMSJSRDo","uris":["http://zotero.org/users/10583480/items/D58IM6BR"],"itemData":{"id":"uWlYI87A/F328Oxj2","type":"article-journal","abstract":"Background\nBalance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sidR="008A57AE">
        <w:fldChar w:fldCharType="separate"/>
      </w:r>
      <w:r w:rsidR="00263011">
        <w:rPr>
          <w:noProof/>
        </w:rPr>
        <w:t>(Horak, 2006; Sibley et al., 2011)</w:t>
      </w:r>
      <w:r w:rsidR="008A57AE">
        <w:fldChar w:fldCharType="end"/>
      </w:r>
      <w:r w:rsidR="00A17CF4">
        <w:t xml:space="preserve"> : </w:t>
      </w:r>
    </w:p>
    <w:p w14:paraId="7B45B455" w14:textId="1B9D2B78" w:rsidR="008A57AE" w:rsidRDefault="008A57AE" w:rsidP="001C18E0">
      <w:pPr>
        <w:pStyle w:val="Paragraphedeliste"/>
        <w:numPr>
          <w:ilvl w:val="0"/>
          <w:numId w:val="10"/>
        </w:numPr>
        <w:spacing w:line="360" w:lineRule="auto"/>
        <w:jc w:val="both"/>
      </w:pPr>
      <w:r>
        <w:t>Les</w:t>
      </w:r>
      <w:r w:rsidR="00A17CF4">
        <w:t xml:space="preserve"> limites de la stabilité fonctionnelle qui désigne la capacité ou non que possède un individu à pouvoir déplacer son centre de gravité dans les directions antéropostérieure</w:t>
      </w:r>
      <w:r w:rsidR="00821A0B">
        <w:t>s</w:t>
      </w:r>
      <w:r w:rsidR="00A17CF4">
        <w:t xml:space="preserve"> ou médio</w:t>
      </w:r>
      <w:r w:rsidR="00821A0B">
        <w:t>-</w:t>
      </w:r>
      <w:r w:rsidR="00A17CF4">
        <w:t>latérale</w:t>
      </w:r>
      <w:r w:rsidR="00821A0B">
        <w:t>s</w:t>
      </w:r>
      <w:r w:rsidR="00A17CF4">
        <w:t xml:space="preserve"> sans que celui-ci ne sorte du polygone de sustentation et soit déséquilibr</w:t>
      </w:r>
      <w:r w:rsidR="00821A0B">
        <w:t>é</w:t>
      </w:r>
      <w:r w:rsidR="00A17CF4">
        <w:t>.</w:t>
      </w:r>
    </w:p>
    <w:p w14:paraId="0351450E" w14:textId="77777777" w:rsidR="008A57AE" w:rsidRDefault="008A57AE" w:rsidP="001C18E0">
      <w:pPr>
        <w:pStyle w:val="Paragraphedeliste"/>
        <w:spacing w:line="360" w:lineRule="auto"/>
        <w:ind w:left="1044"/>
        <w:jc w:val="both"/>
      </w:pPr>
    </w:p>
    <w:p w14:paraId="550D2206" w14:textId="6D877528" w:rsidR="008A57AE" w:rsidRDefault="008A57AE" w:rsidP="001C18E0">
      <w:pPr>
        <w:pStyle w:val="Paragraphedeliste"/>
        <w:numPr>
          <w:ilvl w:val="0"/>
          <w:numId w:val="10"/>
        </w:numPr>
        <w:spacing w:line="360" w:lineRule="auto"/>
        <w:jc w:val="both"/>
      </w:pPr>
      <w:r>
        <w:t>L</w:t>
      </w:r>
      <w:r w:rsidR="00A17CF4">
        <w:t>a capacité des systèmes moteurs sous-jacents défini</w:t>
      </w:r>
      <w:r w:rsidR="00821A0B">
        <w:t>e</w:t>
      </w:r>
      <w:r w:rsidR="00A17CF4">
        <w:t xml:space="preserve"> par la capacité des muscles à effectuer un mouvement ou encore des articulations à visiter l’entièreté de l’amplitude disponible. </w:t>
      </w:r>
    </w:p>
    <w:p w14:paraId="73DF2A93" w14:textId="77777777" w:rsidR="008A57AE" w:rsidRDefault="008A57AE" w:rsidP="001C18E0">
      <w:pPr>
        <w:pStyle w:val="Paragraphedeliste"/>
        <w:spacing w:line="360" w:lineRule="auto"/>
        <w:jc w:val="both"/>
      </w:pPr>
    </w:p>
    <w:p w14:paraId="389ECB3F" w14:textId="1C727A94" w:rsidR="008A57AE" w:rsidRDefault="00A17CF4" w:rsidP="001C18E0">
      <w:pPr>
        <w:pStyle w:val="Paragraphedeliste"/>
        <w:numPr>
          <w:ilvl w:val="0"/>
          <w:numId w:val="10"/>
        </w:numPr>
        <w:spacing w:line="360" w:lineRule="auto"/>
        <w:jc w:val="both"/>
      </w:pPr>
      <w:r>
        <w:t xml:space="preserve">La </w:t>
      </w:r>
      <w:r w:rsidR="004005F8">
        <w:t>stabilité</w:t>
      </w:r>
      <w:r>
        <w:t xml:space="preserve"> statique </w:t>
      </w:r>
      <w:r w:rsidR="004005F8">
        <w:t>représent</w:t>
      </w:r>
      <w:r w:rsidR="00821A0B">
        <w:t>ant</w:t>
      </w:r>
      <w:r w:rsidR="004005F8">
        <w:t xml:space="preserve"> la capacité à maintenir la position du centre de gravité dans une position sans support sans que le polygone de sustentation ne se déplace (par exemple la position du tandem)</w:t>
      </w:r>
      <w:r w:rsidR="00526F86">
        <w:t>.</w:t>
      </w:r>
      <w:r w:rsidR="004005F8">
        <w:t xml:space="preserve"> </w:t>
      </w:r>
    </w:p>
    <w:p w14:paraId="3EE80A7A" w14:textId="77777777" w:rsidR="008A57AE" w:rsidRDefault="008A57AE" w:rsidP="001C18E0">
      <w:pPr>
        <w:pStyle w:val="Paragraphedeliste"/>
        <w:spacing w:line="360" w:lineRule="auto"/>
        <w:jc w:val="both"/>
      </w:pPr>
    </w:p>
    <w:p w14:paraId="1896EA8E" w14:textId="77852704" w:rsidR="008A57AE" w:rsidRDefault="004005F8" w:rsidP="001C18E0">
      <w:pPr>
        <w:pStyle w:val="Paragraphedeliste"/>
        <w:numPr>
          <w:ilvl w:val="0"/>
          <w:numId w:val="10"/>
        </w:numPr>
        <w:spacing w:line="360" w:lineRule="auto"/>
        <w:jc w:val="both"/>
      </w:pPr>
      <w:r>
        <w:t>La perception de la verticalité désign</w:t>
      </w:r>
      <w:r w:rsidR="00821A0B">
        <w:t>ant</w:t>
      </w:r>
      <w:r>
        <w:t xml:space="preserve"> la capacité d’un individu à s’orienter en fonction de la gravité </w:t>
      </w:r>
      <w:r>
        <w:fldChar w:fldCharType="begin"/>
      </w:r>
      <w:r>
        <w:instrText xml:space="preserve"> ADDIN ZOTERO_ITEM CSL_CITATION {"citationID":"ZOxH7cCH","properties":{"formattedCitation":"(Karnath et al., 2000)","plainCitation":"(Karnath et al., 2000)","noteIndex":0},"citationItems":[{"id":194,"uris":["http://zotero.org/users/10583480/items/PDNS5NHN"],"itemData":{"id":194,"type":"article-journal","abstract":"Lesion of the “vestibular cortex” in the human posterior\n insula leads to a tilted perception of visual vertical but not to\n tilted body posture and loss of lateral balance. However, some stroke\n patients show the reverse pattern. Although their processing of visual\n and vestibular inputs for orientation perception of the visual world is\n undisturbed, they push away actively from the ipsilesional side (the\n side of lesion location), leading to a contraversive tilt of the body\n (tilt toward the side opposite to the lesion) and falling to that side.\n Recently, the origin of contraversive pushing was identified as an\n altered perception of the body's orientation in relation to gravity.\n These patients experience their body as oriented “upright” when\n actually tilted enormously to the ipsilesional side (18° on average).\n The findings argued for a separate pathway in humans for sensing body\n orientation in relation to gravity apart from the one projecting to the\n vestibular cortex. The present study aimed at identifying this brain\n area. The infarcted brain regions of 23 consecutively admitted patients\n with severe contraversive pushing were projected onto a template MRI\n scan, which had been normalized to Talairach space. The overlapping\n area of these infarctions centered on the posterolateral thalamus. Our\n finding necessitates reinterpretation of this area as being only a\n “relay structure” of the vestibular pathway on its way from the\n brainstem to the vestibular cortex. The ventral posterior and lateral\n posterior nuclei of the posterolateral thalamus (and probably its\n cortical projections) rather seem to be fundamentally involved in the\n neural representation of a second graviceptive system in humans\n decisive for our control of upright body posture.","container-title":"Proceedings of the National Academy of Sciences of the United States of America","ISSN":"0027-8424","issue":"25","journalAbbreviation":"Proc Natl Acad Sci U S A","note":"PMID: 11087818\nPMCID: PMC17678","page":"13931-13936","source":"PubMed Central","title":"The neural representation of postural control in humans","volume":"97","author":[{"family":"Karnath","given":"Hans-Otto"},{"family":"Ferber","given":"Susanne"},{"family":"Dichgans","given":"Johannes"}],"issued":{"date-parts":[["2000",12,5]]}}}],"schema":"https://github.com/citation-style-language/schema/raw/master/csl-citation.json"} </w:instrText>
      </w:r>
      <w:r>
        <w:fldChar w:fldCharType="separate"/>
      </w:r>
      <w:r>
        <w:rPr>
          <w:noProof/>
        </w:rPr>
        <w:t>(Karnath et al., 2000)</w:t>
      </w:r>
      <w:r>
        <w:fldChar w:fldCharType="end"/>
      </w:r>
      <w:r w:rsidR="00526F86">
        <w:t xml:space="preserve">. </w:t>
      </w:r>
    </w:p>
    <w:p w14:paraId="54169BE2" w14:textId="77777777" w:rsidR="008A57AE" w:rsidRDefault="008A57AE" w:rsidP="001C18E0">
      <w:pPr>
        <w:pStyle w:val="Paragraphedeliste"/>
        <w:spacing w:line="360" w:lineRule="auto"/>
        <w:ind w:left="1044"/>
        <w:jc w:val="both"/>
      </w:pPr>
    </w:p>
    <w:p w14:paraId="48E6362A" w14:textId="4A36BE10" w:rsidR="008A57AE" w:rsidRDefault="004005F8" w:rsidP="001C18E0">
      <w:pPr>
        <w:pStyle w:val="Paragraphedeliste"/>
        <w:numPr>
          <w:ilvl w:val="0"/>
          <w:numId w:val="10"/>
        </w:numPr>
        <w:spacing w:line="360" w:lineRule="auto"/>
        <w:jc w:val="both"/>
      </w:pPr>
      <w:r>
        <w:t xml:space="preserve">Le contrôle postural réactif défini par la capacité </w:t>
      </w:r>
      <w:r w:rsidR="00417080">
        <w:t xml:space="preserve">à retrouver la stabilité après une perturbation extrinsèque </w:t>
      </w:r>
      <w:r w:rsidR="0059198E">
        <w:fldChar w:fldCharType="begin"/>
      </w:r>
      <w:r w:rsidR="00D27E0A">
        <w:instrText xml:space="preserve"> ADDIN ZOTERO_ITEM CSL_CITATION {"citationID":"nepZbNpF","properties":{"formattedCitation":"(Sibley et al., 2015)","plainCitation":"(Sibley et al., 2015)","dontUpdate":true,"noteIndex":0},"citationItems":[{"id":"yBnlN4SL/oxguExi7","uris":["http://zotero.org/users/10583480/items/DRIFK8AN"],"itemData":{"id":"uWlYI87A/alBO7ulA","type":"article-journal","container-title":"Archives of Physical Medicine and Rehabilitation","DOI":"10.1016/j.apmr.2014.06.021","ISSN":"0003-9993, 1532-821X","issue":"1","journalAbbreviation":"Archives of Physical Medicine and Rehabilitation","language":"English","note":"publisher: Elsevier\nPMID: 25073007","page":"122-132.e29","source":"www.archives-pmr.org","title":"Using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K."},{"family":"Ooteghem","given":"Karen Van"},{"family":"Straus","given":"Sharon E."},{"family":"Jaglal","given":"Susan B."}],"issued":{"date-parts":[["2015",1,1]]}}}],"schema":"https://github.com/citation-style-language/schema/raw/master/csl-citation.json"} </w:instrText>
      </w:r>
      <w:r w:rsidR="0059198E">
        <w:fldChar w:fldCharType="separate"/>
      </w:r>
      <w:r w:rsidR="00417080">
        <w:rPr>
          <w:noProof/>
        </w:rPr>
        <w:t>(William E. McIlroy,Brian E. Maki, 1996)</w:t>
      </w:r>
      <w:r w:rsidR="0059198E">
        <w:fldChar w:fldCharType="end"/>
      </w:r>
      <w:r w:rsidR="00417080">
        <w:t>.</w:t>
      </w:r>
      <w:r w:rsidR="00526F86">
        <w:t xml:space="preserve"> </w:t>
      </w:r>
    </w:p>
    <w:p w14:paraId="48465A8C" w14:textId="77777777" w:rsidR="008A57AE" w:rsidRDefault="008A57AE" w:rsidP="001C18E0">
      <w:pPr>
        <w:pStyle w:val="Paragraphedeliste"/>
        <w:spacing w:line="360" w:lineRule="auto"/>
        <w:ind w:left="1044"/>
        <w:jc w:val="both"/>
      </w:pPr>
    </w:p>
    <w:p w14:paraId="4FB8484C" w14:textId="71F2E0DE" w:rsidR="008A57AE" w:rsidRDefault="00417080" w:rsidP="001C18E0">
      <w:pPr>
        <w:pStyle w:val="Paragraphedeliste"/>
        <w:numPr>
          <w:ilvl w:val="0"/>
          <w:numId w:val="10"/>
        </w:numPr>
        <w:spacing w:line="360" w:lineRule="auto"/>
        <w:jc w:val="both"/>
      </w:pPr>
      <w:r>
        <w:t xml:space="preserve">Le contrôle postural anticipé </w:t>
      </w:r>
      <w:r w:rsidR="00821A0B">
        <w:t>étant</w:t>
      </w:r>
      <w:r>
        <w:t xml:space="preserve"> la capacité à déplacer son centre de gravité avant un mouvement volontaire discret.</w:t>
      </w:r>
      <w:r w:rsidR="00526F86">
        <w:t xml:space="preserve"> </w:t>
      </w:r>
    </w:p>
    <w:p w14:paraId="6BBA62AC" w14:textId="77777777" w:rsidR="008A57AE" w:rsidRDefault="008A57AE" w:rsidP="001C18E0">
      <w:pPr>
        <w:pStyle w:val="Paragraphedeliste"/>
        <w:spacing w:line="360" w:lineRule="auto"/>
        <w:jc w:val="both"/>
      </w:pPr>
    </w:p>
    <w:p w14:paraId="1B802363" w14:textId="38E27519" w:rsidR="008A57AE" w:rsidRDefault="00526F86" w:rsidP="001C18E0">
      <w:pPr>
        <w:pStyle w:val="Paragraphedeliste"/>
        <w:numPr>
          <w:ilvl w:val="0"/>
          <w:numId w:val="10"/>
        </w:numPr>
        <w:spacing w:line="360" w:lineRule="auto"/>
        <w:jc w:val="both"/>
      </w:pPr>
      <w:r>
        <w:lastRenderedPageBreak/>
        <w:t xml:space="preserve">La stabilité dynamique </w:t>
      </w:r>
      <w:r w:rsidR="00821A0B">
        <w:t xml:space="preserve">reflétant </w:t>
      </w:r>
      <w:r>
        <w:t xml:space="preserve">la capacité d’un individu à déplacer son centre de gravité lorsque le polygone de sustentation est en mouvement. </w:t>
      </w:r>
    </w:p>
    <w:p w14:paraId="1DDA452A" w14:textId="77777777" w:rsidR="008A57AE" w:rsidRDefault="008A57AE" w:rsidP="001C18E0">
      <w:pPr>
        <w:pStyle w:val="Paragraphedeliste"/>
        <w:spacing w:line="360" w:lineRule="auto"/>
        <w:jc w:val="both"/>
      </w:pPr>
    </w:p>
    <w:p w14:paraId="6FD230C0" w14:textId="4ED6D3F3" w:rsidR="008A57AE" w:rsidRDefault="00526F86" w:rsidP="001C18E0">
      <w:pPr>
        <w:pStyle w:val="Paragraphedeliste"/>
        <w:numPr>
          <w:ilvl w:val="0"/>
          <w:numId w:val="10"/>
        </w:numPr>
        <w:spacing w:line="360" w:lineRule="auto"/>
        <w:jc w:val="both"/>
      </w:pPr>
      <w:r>
        <w:t xml:space="preserve">L’intégration sensorielle </w:t>
      </w:r>
      <w:r w:rsidR="00821A0B">
        <w:t xml:space="preserve">permettant </w:t>
      </w:r>
      <w:r>
        <w:t xml:space="preserve">de trier et de pondérer une réponse au stimulus sensoriel afférant. </w:t>
      </w:r>
    </w:p>
    <w:p w14:paraId="6DA535CD" w14:textId="77777777" w:rsidR="008A57AE" w:rsidRDefault="008A57AE" w:rsidP="001C18E0">
      <w:pPr>
        <w:pStyle w:val="Paragraphedeliste"/>
        <w:spacing w:line="360" w:lineRule="auto"/>
        <w:jc w:val="both"/>
      </w:pPr>
    </w:p>
    <w:p w14:paraId="459E0507" w14:textId="0514EA00" w:rsidR="002D1A39" w:rsidRDefault="00526F86" w:rsidP="001C18E0">
      <w:pPr>
        <w:pStyle w:val="Paragraphedeliste"/>
        <w:numPr>
          <w:ilvl w:val="0"/>
          <w:numId w:val="10"/>
        </w:numPr>
        <w:spacing w:line="360" w:lineRule="auto"/>
        <w:jc w:val="both"/>
      </w:pPr>
      <w:r>
        <w:t>L’aspect cognitif décrit par la capacité à effectuer une double-tache (tenir en équilibre pendant une discussion</w:t>
      </w:r>
      <w:r w:rsidR="006B142C">
        <w:t>)</w:t>
      </w:r>
      <w:r w:rsidR="00EF7AA4">
        <w:t xml:space="preserve"> </w:t>
      </w:r>
      <w:r>
        <w:t xml:space="preserve"> </w:t>
      </w:r>
      <w:r w:rsidR="00417080">
        <w:fldChar w:fldCharType="begin"/>
      </w:r>
      <w:r w:rsidR="00D27E0A">
        <w:instrText xml:space="preserve"> ADDIN ZOTERO_ITEM CSL_CITATION {"citationID":"8TaIYVpo","properties":{"formattedCitation":"(Sibley, Beauchamp, Ooteghem, et al., 2015)","plainCitation":"(Sibley, Beauchamp, Ooteghem, et al., 2015)","noteIndex":0},"citationItems":[{"id":"yBnlN4SL/oxguExi7","uris":["http://zotero.org/users/10583480/items/DRIFK8AN"],"itemData":{"id":"uWlYI87A/alBO7ulA","type":"article-journal","container-title":"Archives of Physical Medicine and Rehabilitation","DOI":"10.1016/j.apmr.2014.06.021","ISSN":"0003-9993, 1532-821X","issue":"1","journalAbbreviation":"Archives of Physical Medicine and Rehabilitation","language":"English","note":"publisher: Elsevier\nPMID: 25073007","page":"122-132.e29","source":"www.archives-pmr.org","title":"Using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K."},{"family":"Ooteghem","given":"Karen Van"},{"family":"Straus","given":"Sharon E."},{"family":"Jaglal","given":"Susan B."}],"issued":{"date-parts":[["2015",1,1]]}}}],"schema":"https://github.com/citation-style-language/schema/raw/master/csl-citation.json"} </w:instrText>
      </w:r>
      <w:r w:rsidR="00417080">
        <w:fldChar w:fldCharType="separate"/>
      </w:r>
      <w:r w:rsidR="00BC5B07">
        <w:rPr>
          <w:noProof/>
        </w:rPr>
        <w:t>(Sibley, Beauchamp, Ooteghem, et al., 2015)</w:t>
      </w:r>
      <w:r w:rsidR="00417080">
        <w:fldChar w:fldCharType="end"/>
      </w:r>
      <w:r>
        <w:t>.</w:t>
      </w:r>
    </w:p>
    <w:p w14:paraId="12659194" w14:textId="77777777" w:rsidR="00E0427F" w:rsidRDefault="00E0427F" w:rsidP="00E0427F">
      <w:pPr>
        <w:pStyle w:val="Paragraphedeliste"/>
        <w:spacing w:line="360" w:lineRule="auto"/>
        <w:ind w:left="1044"/>
        <w:jc w:val="both"/>
      </w:pPr>
    </w:p>
    <w:p w14:paraId="4DEA50A7" w14:textId="610AFD6C" w:rsidR="00E0427F" w:rsidRDefault="00E0427F" w:rsidP="00E0427F">
      <w:pPr>
        <w:pStyle w:val="Titre3"/>
      </w:pPr>
      <w:bookmarkStart w:id="18" w:name="_Toc221704617"/>
      <w:r>
        <w:t>Les voies de l’équilibre</w:t>
      </w:r>
      <w:bookmarkEnd w:id="18"/>
      <w:r>
        <w:t xml:space="preserve"> </w:t>
      </w:r>
    </w:p>
    <w:p w14:paraId="5760FD4B" w14:textId="77777777" w:rsidR="00E0427F" w:rsidRDefault="00E0427F" w:rsidP="00E0427F"/>
    <w:p w14:paraId="02EA3279" w14:textId="047C2C5A" w:rsidR="00E0427F" w:rsidRDefault="00E0427F" w:rsidP="00E0427F">
      <w:pPr>
        <w:pStyle w:val="Titre4"/>
      </w:pPr>
      <w:r>
        <w:t xml:space="preserve">Le système visuel </w:t>
      </w:r>
    </w:p>
    <w:p w14:paraId="487D42DB" w14:textId="77777777" w:rsidR="00E0427F" w:rsidRPr="00E0427F" w:rsidRDefault="00E0427F" w:rsidP="00E0427F">
      <w:pPr>
        <w:pStyle w:val="NormalWeb"/>
        <w:spacing w:line="360" w:lineRule="auto"/>
        <w:jc w:val="both"/>
        <w:rPr>
          <w:rFonts w:asciiTheme="minorHAnsi" w:hAnsiTheme="minorHAnsi" w:cstheme="minorHAnsi"/>
          <w:color w:val="000000"/>
          <w:sz w:val="22"/>
          <w:szCs w:val="22"/>
        </w:rPr>
      </w:pPr>
      <w:r w:rsidRPr="00E0427F">
        <w:rPr>
          <w:rFonts w:asciiTheme="minorHAnsi" w:hAnsiTheme="minorHAnsi" w:cstheme="minorHAnsi"/>
          <w:color w:val="000000"/>
          <w:sz w:val="22"/>
          <w:szCs w:val="22"/>
        </w:rPr>
        <w:t>Le système visuel joue un rôle de premier plan dans la perception spatiale et la stabilisation de la posture. Le processus débute par la captation de la lumière à travers la cornée et la pupille, avant d'être focalisée par le cristallin sur la rétine. C'est à ce niveau que les photorécepteurs (bâtonnets et cônes) assurent la transduction du signal lumineux en impulsions électriques. Ces signaux sont ensuite acheminés par le nerf optique vers le cortex visuel primaire (V1) au sein du lobe occipital.</w:t>
      </w:r>
    </w:p>
    <w:p w14:paraId="087AB98F" w14:textId="3BD86D15" w:rsidR="00E0427F" w:rsidRDefault="00E0427F" w:rsidP="00E0427F">
      <w:pPr>
        <w:pStyle w:val="NormalWeb"/>
        <w:spacing w:line="360" w:lineRule="auto"/>
        <w:jc w:val="both"/>
        <w:rPr>
          <w:rFonts w:asciiTheme="minorHAnsi" w:hAnsiTheme="minorHAnsi" w:cstheme="minorHAnsi"/>
          <w:color w:val="000000"/>
          <w:sz w:val="22"/>
          <w:szCs w:val="22"/>
        </w:rPr>
      </w:pPr>
      <w:r w:rsidRPr="00E0427F">
        <w:rPr>
          <w:rFonts w:asciiTheme="minorHAnsi" w:hAnsiTheme="minorHAnsi" w:cstheme="minorHAnsi"/>
          <w:color w:val="000000"/>
          <w:sz w:val="22"/>
          <w:szCs w:val="22"/>
        </w:rPr>
        <w:t>Le traitement de l'information se poursuit à travers différentes aires corticales spécialisées (V1 à V3, entre autres), permettant d'analyser des variables critiques telles que l'orientation, le mouvement, la profondeur et la couleur. La vision fournit des référentiels statiques et dynamiques indispensables pour évaluer les déplacements du corps et anticiper les ajustements posturaux nécessaires</w:t>
      </w:r>
      <w:r w:rsidR="003471F6">
        <w:rPr>
          <w:rFonts w:asciiTheme="minorHAnsi" w:hAnsiTheme="minorHAnsi" w:cstheme="minorHAnsi"/>
          <w:color w:val="000000"/>
          <w:sz w:val="22"/>
          <w:szCs w:val="22"/>
        </w:rPr>
        <w:t xml:space="preserve"> </w:t>
      </w:r>
      <w:r w:rsidR="003471F6">
        <w:rPr>
          <w:rFonts w:asciiTheme="minorHAnsi" w:hAnsiTheme="minorHAnsi" w:cstheme="minorHAnsi"/>
          <w:color w:val="000000"/>
          <w:sz w:val="22"/>
          <w:szCs w:val="22"/>
        </w:rPr>
        <w:fldChar w:fldCharType="begin"/>
      </w:r>
      <w:r w:rsidR="003471F6">
        <w:rPr>
          <w:rFonts w:asciiTheme="minorHAnsi" w:hAnsiTheme="minorHAnsi" w:cstheme="minorHAnsi"/>
          <w:color w:val="000000"/>
          <w:sz w:val="22"/>
          <w:szCs w:val="22"/>
        </w:rPr>
        <w:instrText xml:space="preserve"> ADDIN ZOTERO_ITEM CSL_CITATION {"citationID":"3zGyTsCR","properties":{"formattedCitation":"(Robert, 2017)","plainCitation":"(Robert, 2017)","noteIndex":0},"citationItems":[{"id":565,"uris":["http://zotero.org/users/10583480/items/QHXQPEFG"],"itemData":{"id":565,"type":"article-newspaper","title":"Traitement physiologique de l’information visuelle","author":[{"literal":"Robert"}],"issued":{"date-parts":[["2017"]]}}}],"schema":"https://github.com/citation-style-language/schema/raw/master/csl-citation.json"} </w:instrText>
      </w:r>
      <w:r w:rsidR="003471F6">
        <w:rPr>
          <w:rFonts w:asciiTheme="minorHAnsi" w:hAnsiTheme="minorHAnsi" w:cstheme="minorHAnsi"/>
          <w:color w:val="000000"/>
          <w:sz w:val="22"/>
          <w:szCs w:val="22"/>
        </w:rPr>
        <w:fldChar w:fldCharType="separate"/>
      </w:r>
      <w:r w:rsidR="003471F6">
        <w:rPr>
          <w:rFonts w:asciiTheme="minorHAnsi" w:hAnsiTheme="minorHAnsi" w:cstheme="minorHAnsi"/>
          <w:noProof/>
          <w:color w:val="000000"/>
          <w:sz w:val="22"/>
          <w:szCs w:val="22"/>
        </w:rPr>
        <w:t>(Robert, 2017)</w:t>
      </w:r>
      <w:r w:rsidR="003471F6">
        <w:rPr>
          <w:rFonts w:asciiTheme="minorHAnsi" w:hAnsiTheme="minorHAnsi" w:cstheme="minorHAnsi"/>
          <w:color w:val="000000"/>
          <w:sz w:val="22"/>
          <w:szCs w:val="22"/>
        </w:rPr>
        <w:fldChar w:fldCharType="end"/>
      </w:r>
      <w:r w:rsidRPr="00E0427F">
        <w:rPr>
          <w:rFonts w:asciiTheme="minorHAnsi" w:hAnsiTheme="minorHAnsi" w:cstheme="minorHAnsi"/>
          <w:color w:val="000000"/>
          <w:sz w:val="22"/>
          <w:szCs w:val="22"/>
        </w:rPr>
        <w:t>.</w:t>
      </w:r>
    </w:p>
    <w:p w14:paraId="6E606FCF" w14:textId="001A28B2" w:rsidR="003471F6" w:rsidRDefault="003471F6" w:rsidP="003471F6">
      <w:pPr>
        <w:pStyle w:val="Titre4"/>
      </w:pPr>
      <w:r>
        <w:t xml:space="preserve">Le système vestibulaire </w:t>
      </w:r>
    </w:p>
    <w:p w14:paraId="4C655511" w14:textId="77777777" w:rsidR="003471F6" w:rsidRPr="003471F6" w:rsidRDefault="003471F6" w:rsidP="003471F6">
      <w:pPr>
        <w:pStyle w:val="NormalWeb"/>
        <w:spacing w:line="360" w:lineRule="auto"/>
        <w:jc w:val="both"/>
        <w:rPr>
          <w:rFonts w:asciiTheme="minorHAnsi" w:hAnsiTheme="minorHAnsi" w:cstheme="minorHAnsi"/>
          <w:color w:val="000000"/>
          <w:sz w:val="22"/>
          <w:szCs w:val="22"/>
        </w:rPr>
      </w:pPr>
      <w:r>
        <w:tab/>
      </w:r>
      <w:r w:rsidRPr="003471F6">
        <w:rPr>
          <w:rFonts w:asciiTheme="minorHAnsi" w:hAnsiTheme="minorHAnsi" w:cstheme="minorHAnsi"/>
          <w:color w:val="000000"/>
          <w:sz w:val="22"/>
          <w:szCs w:val="22"/>
        </w:rPr>
        <w:t>Situé dans l'oreille interne, le système vestibulaire est l'organe sensoriel dédié à la détection des mouvements de la tête et à l'orientation par rapport à la gravité. Il repose sur deux structures distinctes : le vestibule (comprenant le saccule et l'utricule) pour la perception des accélérations linéaires, et les canaux semi-circulaires pour la détection des rotations céphaliques.</w:t>
      </w:r>
    </w:p>
    <w:p w14:paraId="667D51A7" w14:textId="76AD715C" w:rsidR="003471F6" w:rsidRDefault="003471F6" w:rsidP="003471F6">
      <w:pPr>
        <w:pStyle w:val="NormalWeb"/>
        <w:spacing w:line="360" w:lineRule="auto"/>
        <w:jc w:val="both"/>
        <w:rPr>
          <w:rFonts w:asciiTheme="minorHAnsi" w:hAnsiTheme="minorHAnsi" w:cstheme="minorHAnsi"/>
          <w:color w:val="000000"/>
          <w:sz w:val="22"/>
          <w:szCs w:val="22"/>
        </w:rPr>
      </w:pPr>
      <w:r w:rsidRPr="003471F6">
        <w:rPr>
          <w:rFonts w:asciiTheme="minorHAnsi" w:hAnsiTheme="minorHAnsi" w:cstheme="minorHAnsi"/>
          <w:color w:val="000000"/>
          <w:sz w:val="22"/>
          <w:szCs w:val="22"/>
        </w:rPr>
        <w:t>Le mécanisme de fonctionnement repose sur des cellules ciliées sensorielles qui convertissent les forces mécaniques en messages nerveux, transmis au cerveau via le nerf vestibulaire. L'intégration de ces données</w:t>
      </w:r>
      <w:r w:rsidR="00821A0B">
        <w:rPr>
          <w:rFonts w:asciiTheme="minorHAnsi" w:hAnsiTheme="minorHAnsi" w:cstheme="minorHAnsi"/>
          <w:color w:val="000000"/>
          <w:sz w:val="22"/>
          <w:szCs w:val="22"/>
        </w:rPr>
        <w:t xml:space="preserve">, </w:t>
      </w:r>
      <w:r w:rsidRPr="003471F6">
        <w:rPr>
          <w:rFonts w:asciiTheme="minorHAnsi" w:hAnsiTheme="minorHAnsi" w:cstheme="minorHAnsi"/>
          <w:color w:val="000000"/>
          <w:sz w:val="22"/>
          <w:szCs w:val="22"/>
        </w:rPr>
        <w:t>avec les signaux visuels et proprioceptifs</w:t>
      </w:r>
      <w:r w:rsidR="00821A0B">
        <w:rPr>
          <w:rFonts w:asciiTheme="minorHAnsi" w:hAnsiTheme="minorHAnsi" w:cstheme="minorHAnsi"/>
          <w:color w:val="000000"/>
          <w:sz w:val="22"/>
          <w:szCs w:val="22"/>
        </w:rPr>
        <w:t>,</w:t>
      </w:r>
      <w:r w:rsidRPr="003471F6">
        <w:rPr>
          <w:rFonts w:asciiTheme="minorHAnsi" w:hAnsiTheme="minorHAnsi" w:cstheme="minorHAnsi"/>
          <w:color w:val="000000"/>
          <w:sz w:val="22"/>
          <w:szCs w:val="22"/>
        </w:rPr>
        <w:t xml:space="preserve"> est fondamentale pour garantir la stabilité du </w:t>
      </w:r>
      <w:r w:rsidRPr="003471F6">
        <w:rPr>
          <w:rFonts w:asciiTheme="minorHAnsi" w:hAnsiTheme="minorHAnsi" w:cstheme="minorHAnsi"/>
          <w:color w:val="000000"/>
          <w:sz w:val="22"/>
          <w:szCs w:val="22"/>
        </w:rPr>
        <w:lastRenderedPageBreak/>
        <w:t xml:space="preserve">regard et la coordination posturale, permettant ainsi au sujet de maintenir son équilibre lors de changements de position </w:t>
      </w:r>
      <w:r>
        <w:rPr>
          <w:rFonts w:asciiTheme="minorHAnsi" w:hAnsiTheme="minorHAnsi" w:cstheme="minorHAnsi"/>
          <w:color w:val="000000"/>
          <w:sz w:val="22"/>
          <w:szCs w:val="22"/>
        </w:rPr>
        <w:fldChar w:fldCharType="begin"/>
      </w:r>
      <w:r>
        <w:rPr>
          <w:rFonts w:asciiTheme="minorHAnsi" w:hAnsiTheme="minorHAnsi" w:cstheme="minorHAnsi"/>
          <w:color w:val="000000"/>
          <w:sz w:val="22"/>
          <w:szCs w:val="22"/>
        </w:rPr>
        <w:instrText xml:space="preserve"> ADDIN ZOTERO_ITEM CSL_CITATION {"citationID":"DBfDY46c","properties":{"formattedCitation":"(Cullen, 2019)","plainCitation":"(Cullen, 2019)","noteIndex":0},"citationItems":[{"id":566,"uris":["http://zotero.org/users/10583480/items/RME8L6PM"],"itemData":{"id":566,"type":"article-journal","abstract":"How the brain computes accurate estimates of our self-motion relative to the world and our orientation relative to gravity in order to ensure accurate perception and motor control is a fundamental neuroscientific question. Recent experiments have revealed that the vestibular system encodes this information during everyday activities using pathway-specific neural representations. Furthermore, new findings have established that vestibular signals are selectively combined with extravestibular information at the earliest stages of central vestibular processing in a manner that depends on the current behavioral goal. These findings have important implications for our understanding of the brain mechanisms that ensure accurate perception and behavior during everyday activities, and for our understanding of disorders of vestibular processing.","container-title":"Nature reviews. Neuroscience","DOI":"10.1038/s41583-019-0153-1","ISSN":"1471-003X","issue":"6","journalAbbreviation":"Nat Rev Neurosci","note":"PMID: 30914780\nPMCID: PMC6611162","page":"346-363","source":"PubMed Central","title":"Vestibular processing during natural self-motion: implications for perception and action","title-short":"Vestibular processing during natural self-motion","volume":"20","author":[{"family":"Cullen","given":"Kathleen"}],"issued":{"date-parts":[["2019",6]]}}}],"schema":"https://github.com/citation-style-language/schema/raw/master/csl-citation.json"} </w:instrText>
      </w:r>
      <w:r>
        <w:rPr>
          <w:rFonts w:asciiTheme="minorHAnsi" w:hAnsiTheme="minorHAnsi" w:cstheme="minorHAnsi"/>
          <w:color w:val="000000"/>
          <w:sz w:val="22"/>
          <w:szCs w:val="22"/>
        </w:rPr>
        <w:fldChar w:fldCharType="separate"/>
      </w:r>
      <w:r>
        <w:rPr>
          <w:rFonts w:asciiTheme="minorHAnsi" w:hAnsiTheme="minorHAnsi" w:cstheme="minorHAnsi"/>
          <w:noProof/>
          <w:color w:val="000000"/>
          <w:sz w:val="22"/>
          <w:szCs w:val="22"/>
        </w:rPr>
        <w:t>(Cullen, 2019)</w:t>
      </w:r>
      <w:r>
        <w:rPr>
          <w:rFonts w:asciiTheme="minorHAnsi" w:hAnsiTheme="minorHAnsi" w:cstheme="minorHAnsi"/>
          <w:color w:val="000000"/>
          <w:sz w:val="22"/>
          <w:szCs w:val="22"/>
        </w:rPr>
        <w:fldChar w:fldCharType="end"/>
      </w:r>
      <w:r w:rsidRPr="003471F6">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p>
    <w:p w14:paraId="5BAF502E" w14:textId="77777777" w:rsidR="003471F6" w:rsidRDefault="003471F6" w:rsidP="003471F6">
      <w:pPr>
        <w:pStyle w:val="NormalWeb"/>
        <w:spacing w:line="360" w:lineRule="auto"/>
        <w:jc w:val="both"/>
        <w:rPr>
          <w:rFonts w:asciiTheme="minorHAnsi" w:hAnsiTheme="minorHAnsi" w:cstheme="minorHAnsi"/>
          <w:color w:val="000000"/>
          <w:sz w:val="22"/>
          <w:szCs w:val="22"/>
        </w:rPr>
      </w:pPr>
    </w:p>
    <w:p w14:paraId="542030C0" w14:textId="08F710BE" w:rsidR="003471F6" w:rsidRDefault="003471F6" w:rsidP="003471F6">
      <w:pPr>
        <w:pStyle w:val="Titre4"/>
      </w:pPr>
      <w:r>
        <w:t>Le système somato-sensoriel</w:t>
      </w:r>
    </w:p>
    <w:p w14:paraId="6F01B7D5" w14:textId="6C406093" w:rsidR="003471F6" w:rsidRPr="003471F6" w:rsidRDefault="003471F6" w:rsidP="003471F6">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r>
      <w:r w:rsidRPr="003471F6">
        <w:rPr>
          <w:rFonts w:asciiTheme="minorHAnsi" w:hAnsiTheme="minorHAnsi" w:cstheme="minorHAnsi"/>
          <w:color w:val="000000"/>
          <w:sz w:val="22"/>
          <w:szCs w:val="22"/>
        </w:rPr>
        <w:t>Le système somatosensoriel regroupe l'ensemble des voies de sensibilité issues de la peau, des muscles, des tendons et des articulations. Ce système permet d'évaluer la position segmentaire et les paramètres du mouvement (vitesse et amplitude) sans recours à la vision</w:t>
      </w:r>
      <w:r>
        <w:rPr>
          <w:rFonts w:asciiTheme="minorHAnsi" w:hAnsiTheme="minorHAnsi" w:cstheme="minorHAnsi"/>
          <w:color w:val="000000"/>
          <w:sz w:val="22"/>
          <w:szCs w:val="22"/>
        </w:rPr>
        <w:t xml:space="preserve"> </w:t>
      </w:r>
      <w:r w:rsidR="00A77212">
        <w:rPr>
          <w:rFonts w:asciiTheme="minorHAnsi" w:hAnsiTheme="minorHAnsi" w:cstheme="minorHAnsi"/>
          <w:color w:val="000000"/>
          <w:sz w:val="22"/>
          <w:szCs w:val="22"/>
        </w:rPr>
        <w:fldChar w:fldCharType="begin"/>
      </w:r>
      <w:r w:rsidR="00A77212">
        <w:rPr>
          <w:rFonts w:asciiTheme="minorHAnsi" w:hAnsiTheme="minorHAnsi" w:cstheme="minorHAnsi"/>
          <w:color w:val="000000"/>
          <w:sz w:val="22"/>
          <w:szCs w:val="22"/>
        </w:rPr>
        <w:instrText xml:space="preserve"> ADDIN ZOTERO_ITEM CSL_CITATION {"citationID":"uBkC2jyE","properties":{"formattedCitation":"(Duclos, 2016)","plainCitation":"(Duclos, 2016)","noteIndex":0},"citationItems":[{"id":568,"uris":["http://zotero.org/users/10583480/items/KUZ43BYQ"],"itemData":{"id":568,"type":"article-newspaper","abstract":"Contrôle postural : physiologie, concepts principaux et implications pour la réadaptation","language":"fr","title":"Contrôle postural : physiologie, concepts principaux et implications pour la réadaptation","title-short":"Contrôle postural","URL":"https://www.em-consulte.com/article/1073627/controle-postural-physiologie-concepts-principaux-","author":[{"family":"Duclos","given":""}],"accessed":{"date-parts":[["2026",1,30]]},"issued":{"date-parts":[["2016"]]}}}],"schema":"https://github.com/citation-style-language/schema/raw/master/csl-citation.json"} </w:instrText>
      </w:r>
      <w:r w:rsidR="00A77212">
        <w:rPr>
          <w:rFonts w:asciiTheme="minorHAnsi" w:hAnsiTheme="minorHAnsi" w:cstheme="minorHAnsi"/>
          <w:color w:val="000000"/>
          <w:sz w:val="22"/>
          <w:szCs w:val="22"/>
        </w:rPr>
        <w:fldChar w:fldCharType="separate"/>
      </w:r>
      <w:r w:rsidR="00A77212">
        <w:rPr>
          <w:rFonts w:asciiTheme="minorHAnsi" w:hAnsiTheme="minorHAnsi" w:cstheme="minorHAnsi"/>
          <w:noProof/>
          <w:color w:val="000000"/>
          <w:sz w:val="22"/>
          <w:szCs w:val="22"/>
        </w:rPr>
        <w:t>(Duclos, 2016)</w:t>
      </w:r>
      <w:r w:rsidR="00A77212">
        <w:rPr>
          <w:rFonts w:asciiTheme="minorHAnsi" w:hAnsiTheme="minorHAnsi" w:cstheme="minorHAnsi"/>
          <w:color w:val="000000"/>
          <w:sz w:val="22"/>
          <w:szCs w:val="22"/>
        </w:rPr>
        <w:fldChar w:fldCharType="end"/>
      </w:r>
      <w:r w:rsidR="00A77212">
        <w:rPr>
          <w:rFonts w:asciiTheme="minorHAnsi" w:hAnsiTheme="minorHAnsi" w:cstheme="minorHAnsi"/>
          <w:color w:val="000000"/>
          <w:sz w:val="22"/>
          <w:szCs w:val="22"/>
        </w:rPr>
        <w:t>.</w:t>
      </w:r>
      <w:r w:rsidRPr="003471F6">
        <w:rPr>
          <w:rFonts w:asciiTheme="minorHAnsi" w:hAnsiTheme="minorHAnsi" w:cstheme="minorHAnsi"/>
          <w:color w:val="000000"/>
          <w:sz w:val="22"/>
          <w:szCs w:val="22"/>
        </w:rPr>
        <w:t xml:space="preserve"> Il se structure en deux dimensions complémentaires :</w:t>
      </w:r>
    </w:p>
    <w:p w14:paraId="2FF6538D" w14:textId="74344D9E" w:rsidR="003471F6" w:rsidRPr="003471F6" w:rsidRDefault="003471F6" w:rsidP="003471F6">
      <w:pPr>
        <w:pStyle w:val="NormalWeb"/>
        <w:numPr>
          <w:ilvl w:val="0"/>
          <w:numId w:val="34"/>
        </w:numPr>
        <w:spacing w:line="360" w:lineRule="auto"/>
        <w:jc w:val="both"/>
        <w:rPr>
          <w:rFonts w:asciiTheme="minorHAnsi" w:hAnsiTheme="minorHAnsi" w:cstheme="minorHAnsi"/>
          <w:color w:val="000000"/>
          <w:sz w:val="22"/>
          <w:szCs w:val="22"/>
        </w:rPr>
      </w:pPr>
      <w:r w:rsidRPr="00A77212">
        <w:rPr>
          <w:rFonts w:asciiTheme="minorHAnsi" w:hAnsiTheme="minorHAnsi" w:cstheme="minorHAnsi"/>
          <w:color w:val="000000"/>
          <w:sz w:val="22"/>
          <w:szCs w:val="22"/>
        </w:rPr>
        <w:t>La dimension sensorielle (extéroception) :</w:t>
      </w:r>
      <w:r w:rsidRPr="003471F6">
        <w:rPr>
          <w:rStyle w:val="apple-converted-space"/>
          <w:rFonts w:asciiTheme="minorHAnsi" w:hAnsiTheme="minorHAnsi" w:cstheme="minorHAnsi"/>
          <w:color w:val="000000"/>
          <w:sz w:val="22"/>
          <w:szCs w:val="22"/>
        </w:rPr>
        <w:t> </w:t>
      </w:r>
      <w:r w:rsidR="00821A0B">
        <w:rPr>
          <w:rFonts w:asciiTheme="minorHAnsi" w:hAnsiTheme="minorHAnsi" w:cstheme="minorHAnsi"/>
          <w:color w:val="000000"/>
          <w:sz w:val="22"/>
          <w:szCs w:val="22"/>
        </w:rPr>
        <w:t>e</w:t>
      </w:r>
      <w:r w:rsidRPr="003471F6">
        <w:rPr>
          <w:rFonts w:asciiTheme="minorHAnsi" w:hAnsiTheme="minorHAnsi" w:cstheme="minorHAnsi"/>
          <w:color w:val="000000"/>
          <w:sz w:val="22"/>
          <w:szCs w:val="22"/>
        </w:rPr>
        <w:t>lle s'appuie sur des récepteurs cutanés distribués sur l'ensemble du corps, permettant la perception et la localisation précise des pressions mécaniques.</w:t>
      </w:r>
    </w:p>
    <w:p w14:paraId="7CB87D49" w14:textId="34988481" w:rsidR="00E0427F" w:rsidRPr="00FA419F" w:rsidRDefault="003471F6" w:rsidP="00E0427F">
      <w:pPr>
        <w:pStyle w:val="NormalWeb"/>
        <w:numPr>
          <w:ilvl w:val="0"/>
          <w:numId w:val="34"/>
        </w:numPr>
        <w:spacing w:line="360" w:lineRule="auto"/>
        <w:jc w:val="both"/>
        <w:rPr>
          <w:rFonts w:asciiTheme="minorHAnsi" w:hAnsiTheme="minorHAnsi" w:cstheme="minorHAnsi"/>
          <w:color w:val="000000"/>
          <w:sz w:val="22"/>
          <w:szCs w:val="22"/>
        </w:rPr>
      </w:pPr>
      <w:r w:rsidRPr="00A77212">
        <w:rPr>
          <w:rFonts w:asciiTheme="minorHAnsi" w:hAnsiTheme="minorHAnsi" w:cstheme="minorHAnsi"/>
          <w:color w:val="000000"/>
          <w:sz w:val="22"/>
          <w:szCs w:val="22"/>
        </w:rPr>
        <w:t>La dimension proprioceptive</w:t>
      </w:r>
      <w:r w:rsidRPr="003471F6">
        <w:rPr>
          <w:rFonts w:asciiTheme="minorHAnsi" w:hAnsiTheme="minorHAnsi" w:cstheme="minorHAnsi"/>
          <w:b/>
          <w:bCs/>
          <w:color w:val="000000"/>
          <w:sz w:val="22"/>
          <w:szCs w:val="22"/>
        </w:rPr>
        <w:t xml:space="preserve"> :</w:t>
      </w:r>
      <w:r w:rsidRPr="003471F6">
        <w:rPr>
          <w:rStyle w:val="apple-converted-space"/>
          <w:rFonts w:asciiTheme="minorHAnsi" w:hAnsiTheme="minorHAnsi" w:cstheme="minorHAnsi"/>
          <w:color w:val="000000"/>
          <w:sz w:val="22"/>
          <w:szCs w:val="22"/>
        </w:rPr>
        <w:t> </w:t>
      </w:r>
      <w:r w:rsidR="00821A0B">
        <w:rPr>
          <w:rFonts w:asciiTheme="minorHAnsi" w:hAnsiTheme="minorHAnsi" w:cstheme="minorHAnsi"/>
          <w:color w:val="000000"/>
          <w:sz w:val="22"/>
          <w:szCs w:val="22"/>
        </w:rPr>
        <w:t>e</w:t>
      </w:r>
      <w:r w:rsidRPr="003471F6">
        <w:rPr>
          <w:rFonts w:asciiTheme="minorHAnsi" w:hAnsiTheme="minorHAnsi" w:cstheme="minorHAnsi"/>
          <w:color w:val="000000"/>
          <w:sz w:val="22"/>
          <w:szCs w:val="22"/>
        </w:rPr>
        <w:t>lle mobilise des récepteurs spécialisés, tels que les fuseaux neuromusculaires, les organes tendineux de Golgi ou encore les récepteurs ligamentaires et articulaires. Ce réseau fournit une information continue sur l'état de tension musculaire et la configuration spatiale des membres</w:t>
      </w:r>
      <w:r w:rsidR="00A77212">
        <w:rPr>
          <w:rFonts w:asciiTheme="minorHAnsi" w:hAnsiTheme="minorHAnsi" w:cstheme="minorHAnsi"/>
          <w:color w:val="000000"/>
          <w:sz w:val="22"/>
          <w:szCs w:val="22"/>
        </w:rPr>
        <w:t xml:space="preserve"> </w:t>
      </w:r>
      <w:r w:rsidR="00A77212">
        <w:rPr>
          <w:rFonts w:asciiTheme="minorHAnsi" w:hAnsiTheme="minorHAnsi" w:cstheme="minorHAnsi"/>
          <w:color w:val="000000"/>
          <w:sz w:val="22"/>
          <w:szCs w:val="22"/>
        </w:rPr>
        <w:fldChar w:fldCharType="begin"/>
      </w:r>
      <w:r w:rsidR="00A77212">
        <w:rPr>
          <w:rFonts w:asciiTheme="minorHAnsi" w:hAnsiTheme="minorHAnsi" w:cstheme="minorHAnsi"/>
          <w:color w:val="000000"/>
          <w:sz w:val="22"/>
          <w:szCs w:val="22"/>
        </w:rPr>
        <w:instrText xml:space="preserve"> ADDIN ZOTERO_ITEM CSL_CITATION {"citationID":"QQGhh9wK","properties":{"formattedCitation":"(Shaffer &amp; Harrison, 2007)","plainCitation":"(Shaffer &amp; Harrison, 2007)","noteIndex":0},"citationItems":[{"id":517,"uris":["http://zotero.org/users/10583480/items/ZH2GIMTI"],"itemData":{"id":517,"type":"article-journal","abstract":"Balance in the elderly population is a major concern given the often catastrophic and disabling consequences of fall-related injuries. Structural and functional declines of the somatosensory system occur with aging and potentially contribute to postural instability in older adults. The objectives of this article are: (1) to discuss the evidence regarding age-related anatomical and physiological changes that occur in the peripheral proprioceptive and cutaneous systems, (2) to relate the basic science research to the current evidence regarding clinical changes associated with normal aging, and (3) to review the evidence regarding age-related proprioceptive and cutaneous clinical changes and relate it to research examining balance performance in older adults. The article is organized by an examination of the receptors responsible for activating afferent pathways (muscle spindle, golgi tendon organ, and articular and cutaneous receptors) and the corresponding sensory afferent fibers and neurons. It integrates basic science laboratory findings with clinical evidence suggesting that advanced aging results in a decline in cutaneous sensation and proprioception. The potential relationship between postural instability and sensory impairments in older adults also is discussed. Current laboratory and clinical evidence suggests that aging results in: (1) diverse and nonuniform declines in the morphology and physiological function of the various sensory structures examined, (2) preferential loss of distal large myelinated sensory fibers and receptors, and (3) impaired distal lower-extremity proprioception, vibration and discriminative touch, and balance. These findings provide foundational knowledge that emphasizes the importance of using reliable and valid sensory testing protocols for older adults and the need for further research that clarifies the relationship between sensory impairment and balance.","container-title":"Physical Therapy","DOI":"10.2522/ptj.20060083","ISSN":"0031-9023","issue":"2","journalAbbreviation":"Phys Ther","language":"eng","note":"PMID: 17244695","page":"193-207","source":"PubMed","title":"Aging of the somatosensory system: a translational perspective","title-short":"Aging of the somatosensory system","volume":"87","author":[{"family":"Shaffer","given":"Scott W."},{"family":"Harrison","given":"Anne L."}],"issued":{"date-parts":[["2007",2]]}}}],"schema":"https://github.com/citation-style-language/schema/raw/master/csl-citation.json"} </w:instrText>
      </w:r>
      <w:r w:rsidR="00A77212">
        <w:rPr>
          <w:rFonts w:asciiTheme="minorHAnsi" w:hAnsiTheme="minorHAnsi" w:cstheme="minorHAnsi"/>
          <w:color w:val="000000"/>
          <w:sz w:val="22"/>
          <w:szCs w:val="22"/>
        </w:rPr>
        <w:fldChar w:fldCharType="separate"/>
      </w:r>
      <w:r w:rsidR="00A77212">
        <w:rPr>
          <w:rFonts w:asciiTheme="minorHAnsi" w:hAnsiTheme="minorHAnsi" w:cstheme="minorHAnsi"/>
          <w:noProof/>
          <w:color w:val="000000"/>
          <w:sz w:val="22"/>
          <w:szCs w:val="22"/>
        </w:rPr>
        <w:t>(Shaffer &amp; Harrison, 2007)</w:t>
      </w:r>
      <w:r w:rsidR="00A77212">
        <w:rPr>
          <w:rFonts w:asciiTheme="minorHAnsi" w:hAnsiTheme="minorHAnsi" w:cstheme="minorHAnsi"/>
          <w:color w:val="000000"/>
          <w:sz w:val="22"/>
          <w:szCs w:val="22"/>
        </w:rPr>
        <w:fldChar w:fldCharType="end"/>
      </w:r>
      <w:r w:rsidR="00A77212">
        <w:rPr>
          <w:rFonts w:asciiTheme="minorHAnsi" w:hAnsiTheme="minorHAnsi" w:cstheme="minorHAnsi"/>
          <w:color w:val="000000"/>
          <w:sz w:val="22"/>
          <w:szCs w:val="22"/>
        </w:rPr>
        <w:t>.</w:t>
      </w:r>
    </w:p>
    <w:p w14:paraId="6C087A79" w14:textId="77777777" w:rsidR="00E7198E" w:rsidRPr="002D1A39" w:rsidRDefault="00E7198E" w:rsidP="003471F6">
      <w:pPr>
        <w:spacing w:line="360" w:lineRule="auto"/>
        <w:ind w:left="397"/>
        <w:jc w:val="both"/>
      </w:pPr>
    </w:p>
    <w:p w14:paraId="65E268E7" w14:textId="4FCA8647" w:rsidR="00C226C3" w:rsidRDefault="003C1607" w:rsidP="00821A0B">
      <w:pPr>
        <w:pStyle w:val="Titre3"/>
        <w:spacing w:line="360" w:lineRule="auto"/>
      </w:pPr>
      <w:bookmarkStart w:id="19" w:name="_Toc221704618"/>
      <w:r w:rsidRPr="00E0427F">
        <w:t>Les outils disponibles pour l’évaluation</w:t>
      </w:r>
      <w:r w:rsidR="006B142C" w:rsidRPr="00E0427F">
        <w:t xml:space="preserve"> de l’équilibre</w:t>
      </w:r>
      <w:bookmarkEnd w:id="19"/>
    </w:p>
    <w:p w14:paraId="108A8B8A" w14:textId="208FC9F4" w:rsidR="00C226C3" w:rsidRPr="00C226C3" w:rsidRDefault="003C1607" w:rsidP="001C18E0">
      <w:pPr>
        <w:pStyle w:val="Titre4"/>
        <w:spacing w:line="360" w:lineRule="auto"/>
        <w:jc w:val="both"/>
      </w:pPr>
      <w:proofErr w:type="spellStart"/>
      <w:r>
        <w:t>BESTest</w:t>
      </w:r>
      <w:proofErr w:type="spellEnd"/>
      <w:r>
        <w:t xml:space="preserve"> et mini </w:t>
      </w:r>
      <w:proofErr w:type="spellStart"/>
      <w:r>
        <w:t>BESTest</w:t>
      </w:r>
      <w:proofErr w:type="spellEnd"/>
      <w:r>
        <w:t xml:space="preserve"> </w:t>
      </w:r>
    </w:p>
    <w:p w14:paraId="5BD9D743" w14:textId="72A31C63" w:rsidR="00107BE6" w:rsidRDefault="00263011" w:rsidP="001C18E0">
      <w:pPr>
        <w:spacing w:line="360" w:lineRule="auto"/>
        <w:ind w:left="397" w:firstLine="227"/>
        <w:jc w:val="both"/>
      </w:pPr>
      <w:r>
        <w:t>L</w:t>
      </w:r>
      <w:r w:rsidR="007D27EF">
        <w:t>e vieillissement de la population entra</w:t>
      </w:r>
      <w:r w:rsidR="0036138C">
        <w:t>îne une décompensation et une réduction de capacités des systèmes sensoriels, moteurs et cognitifs</w:t>
      </w:r>
      <w:r>
        <w:t xml:space="preserve"> </w:t>
      </w:r>
      <w:r>
        <w:fldChar w:fldCharType="begin"/>
      </w:r>
      <w:r w:rsidR="00AC0A5A">
        <w:instrText xml:space="preserve"> ADDIN ZOTERO_ITEM CSL_CITATION {"citationID":"4gPAwLqZ","properties":{"formattedCitation":"(Tubiana, 2002)","plainCitation":"(Tubiana, 2002)","noteIndex":0},"citationItems":[{"id":238,"uris":["http://zotero.org/users/10583480/items/TSPMIDYX"],"itemData":{"id":238,"type":"article-journal","abstract":"Physical health is affected by physiological aging that impacts on all tissues and organs, notably sensorial systems (hearing, sight), the locomotory and the immunological systems (lowering of resistance to infections). There is an increase with age in the incidence of many cancers (particularly breast, prostate, and colon cancers) and cardiovascular diseases. Regular check-ups are useful in order to take appropriate measures in time. It is important that people maintain regular physical activity and a balanced diet even up to an advanced age and the elderly must learn to adapt themselves to the ever-changing abilities of their organism. It is possible to slow down the aging process through good hygiene and often to maintain autonomy until the end of life. Mental health is threatened by impairment of mental functions, depressive tendencies, and the risk of senile dementia that cannot be foreseen or avoided. It appears that keeping intellectually active and having a good level of education impact favorably on mental aging. Social health depends, for a large part, on the way society accepts and treats the elderly. They must be kept integrated into society and allowed to live at home for as long as possible. Any measures of rejection, discrimination, and exclusion should be opposed. The dignity of the elderly must be respected and activities giving them a feeling of usefulness should be encouraged. It is important to help families who care for their parents at home, to develop and evaluate healthcare networks, and encourage medical professionals and social services to work together. The change in the demographic structure of France is a considerable phenomenon requiring a long-term strategy and not only superficial and cosmetic measures.\nRésumé\nLe vieillissement altère progressivement tous les aspects de la santé. La santé physique est atteinte par la sénescence physiologique, qui touche tous les tissus et organes, notamment les systèmes sensoriels (ouïe, vue), le système locomoteur, le système immunologique (baisse de la résistance contre les infections). On observe aussi une augmentation avec l’âge de la fréquence de nombreux cancers (notamment sein et prostate, colo-rectaux) et des maladies cardiovasculaires. Des bilans réguliers sont nécessaires pour prendre à temps les mesures utiles. Il faut maintenir une activité physique régulière et une alimentation équilibrée jusqu’à un âge avancé et habituer la personne âgée à s’adapter aux capacités constamment changeantes de son organisme. Il est possible, en observant des règles d’hygiène, de ralentir le processus de vieillissement et souvent de maintenir une autonomie jusqu’à la période ultime de la vie. La santé mentale est menacée par la baisse des capacités intellectuelles, des tendances dépressives, et le risque de démences séniles, que l’on ne peut ni prévoir ni éviter. Il apparaît que le maintien d’une activité intellectuelle et un bon niveau d’instruction ont une influence favorable sur le vieillissement intellectuel. La santé sociale dépend, dans une large mesure, de la façon dont la société accepte et considère les personnes âgées. Il faut garder celles-ci le plus longtemps possible intégrées dans la société et à leur domicile et s’opposer à toutes mesures de rejet, de discrimination et d’exclusion. Il faut respecter la dignité des personnes âgées et favoriser des activités leur donnant un sentiment d’utilité. Il faut aider les familles qui hébergent leurs parents, développer et évaluer les réseaux de soins, rapprocher les professions médicales et sociales. La modification de la structure démographique de la France est un phénomène considérable, qui nécessite une stratégie à long terme et qui ne peut se satisfaire d’une approche superficielle et cosmétique.","collection-title":"Longevite et vieillissement","container-title":"Comptes Rendus Biologies","DOI":"10.1016/S1631-0691(02)01482-8","ISSN":"1631-0691","issue":"6","journalAbbreviation":"Comptes Rendus Biologies","page":"699-717","source":"ScienceDirect","title":"Le vieillissement : aspects médicaux et sociaux","title-short":"Le vieillissement","volume":"325","author":[{"family":"Tubiana","given":"Maurice"}],"issued":{"date-parts":[["2002",6,1]]}}}],"schema":"https://github.com/citation-style-language/schema/raw/master/csl-citation.json"} </w:instrText>
      </w:r>
      <w:r>
        <w:fldChar w:fldCharType="separate"/>
      </w:r>
      <w:r>
        <w:rPr>
          <w:noProof/>
        </w:rPr>
        <w:t>(Tubiana, 2002)</w:t>
      </w:r>
      <w:r>
        <w:fldChar w:fldCharType="end"/>
      </w:r>
      <w:r w:rsidR="0036138C">
        <w:t xml:space="preserve">. Ce qui amène à de plus nombreux risque de chutes. </w:t>
      </w:r>
      <w:r>
        <w:t xml:space="preserve">Les masseurs kinésithérapeutes doivent </w:t>
      </w:r>
      <w:r w:rsidR="0036138C">
        <w:t>pouvoir identifier un patient présentant un risque de chute</w:t>
      </w:r>
      <w:r w:rsidR="00FC6808">
        <w:t xml:space="preserve"> </w:t>
      </w:r>
      <w:r w:rsidR="0036138C">
        <w:fldChar w:fldCharType="begin"/>
      </w:r>
      <w:r w:rsidR="00D27E0A">
        <w:instrText xml:space="preserve"> ADDIN ZOTERO_ITEM CSL_CITATION {"citationID":"AWGes8cU","properties":{"formattedCitation":"(Sibley et al., 2011b)","plainCitation":"(Sibley et al., 2011b)","dontUpdate":true,"noteIndex":0},"citationItems":[{"id":"yBnlN4SL/LMSJSRDo","uris":["http://zotero.org/users/10583480/items/D58IM6BR"],"itemData":{"id":151,"type":"article-journal","abstract":"Background\nBalance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sidR="0036138C">
        <w:fldChar w:fldCharType="separate"/>
      </w:r>
      <w:r w:rsidR="00B76155">
        <w:rPr>
          <w:noProof/>
        </w:rPr>
        <w:t>(Sibley et al., 2011)</w:t>
      </w:r>
      <w:r w:rsidR="0036138C">
        <w:fldChar w:fldCharType="end"/>
      </w:r>
      <w:r w:rsidR="00107BE6">
        <w:t>.</w:t>
      </w:r>
    </w:p>
    <w:p w14:paraId="1F2657AE" w14:textId="156E740A" w:rsidR="00E02F04" w:rsidRDefault="00107BE6" w:rsidP="001C18E0">
      <w:pPr>
        <w:spacing w:line="360" w:lineRule="auto"/>
        <w:ind w:left="397" w:firstLine="227"/>
        <w:jc w:val="both"/>
      </w:pPr>
      <w:r>
        <w:t>Les MK doivent être capable</w:t>
      </w:r>
      <w:r w:rsidR="00821A0B">
        <w:t>s</w:t>
      </w:r>
      <w:r>
        <w:t xml:space="preserve"> de choisir une évaluation adaptée au patient mais aussi un outil capable d’évaluer la globalité des sous</w:t>
      </w:r>
      <w:r w:rsidR="00821A0B">
        <w:t>-</w:t>
      </w:r>
      <w:r>
        <w:t>composantes de l’équilibre afin de pouvoir mettre en place une intervention efficace et spécifique au patient</w:t>
      </w:r>
      <w:r w:rsidR="00C94722">
        <w:t xml:space="preserve"> </w:t>
      </w:r>
      <w:r w:rsidR="00C94722">
        <w:fldChar w:fldCharType="begin"/>
      </w:r>
      <w:r w:rsidR="00C94722">
        <w:instrText xml:space="preserve"> ADDIN ZOTERO_ITEM CSL_CITATION {"citationID":"3zY7DNak","properties":{"formattedCitation":"(Horak et al., 2009)","plainCitation":"(Horak et al., 2009)","noteIndex":0},"citationItems":[{"id":100,"uris":["http://zotero.org/users/10583480/items/DX6V3248"],"itemData":{"id":100,"type":"article-journal","abstract":"Background: Current clinical balance assessment tools do not aim to help therapists identify the underlying postural control systems responsible for poor functional balance. By identifying the disordered systems underlying balance control, therapists can direct specific types of intervention for different types of balance problems., Objective: The goal of this study was to develop a clinical balance assessment tool that aims to target 6 different balance control systems so that specific rehabilitation approaches can be designed for different balance deficits. This article presents the theoretical framework, interrater reliability, and preliminary concurrent validity for this new instrument, the Balance Evaluation Systems Test (BESTest)., Design: The BESTest consists of 36 items, grouped into 6 systems: “Biomechanical Constraints,” “Stability Limits/Verticality,” “Anticipatory Postural Adjustments,” “Postural Responses,” “Sensory Orientation,” and “Stability in Gait.”, Methods: In 2 interrater trials, 22 subjects with and without balance disorders, ranging in age from 50 to 88 years, were rated concurrently on the BESTest by 19 therapists, students, and balance researchers. Concurrent validity was measured by correlation between the BESTest and balance confidence, as assessed with the Activities-specific Balance Confidence (ABC) Scale., Results: Consistent with our theoretical framework, subjects with different diagnoses scored poorly on different sections of the BESTest. The intraclass correlation coefficient (ICC) for interrater reliability for the test as a whole was .91, with the 6 section ICCs ranging from .79 to .96. The Kendall coefficient of concordance among raters ranged from .46 to 1.00 for the 36 individual items. Concurrent validity of the correlation between the BESTest and the ABC Scale was r=.636, P&lt;.01., Limitations: Further testing is needed to determine whether: (1) the sections of the BESTest actually detect independent balance deficits, (2) other systems important for balance control should be added, and (3) a shorter version of the test is possible by eliminating redundant or insensitive items., Conclusions: The BESTest is easy to learn to administer, with excellent reliability and very good validity. It is unique in allowing clinicians to determine the type of balance problems to direct specific treatments for their patients. By organizing clinical balance test items already in use, combined with new items not currently available, the BESTest is the most comprehensive clinical balance tool available and warrants further development.","container-title":"Physical Therapy","DOI":"10.2522/ptj.20080071","ISSN":"0031-9023","issue":"5","journalAbbreviation":"Phys Ther","note":"PMID: 19329772\nPMCID: PMC2676433","page":"484-498","source":"PubMed Central","title":"The Balance Evaluation Systems Test (BESTest) to Differentiate Balance Deficits","volume":"89","author":[{"family":"Horak","given":"Fay B"},{"family":"Wrisley","given":"Diane M"},{"family":"Frank","given":"James"}],"issued":{"date-parts":[["2009",5]]}}}],"schema":"https://github.com/citation-style-language/schema/raw/master/csl-citation.json"} </w:instrText>
      </w:r>
      <w:r w:rsidR="00C94722">
        <w:fldChar w:fldCharType="separate"/>
      </w:r>
      <w:r w:rsidR="00C94722">
        <w:rPr>
          <w:noProof/>
        </w:rPr>
        <w:t>(Horak et al., 2009)</w:t>
      </w:r>
      <w:r w:rsidR="00C94722">
        <w:fldChar w:fldCharType="end"/>
      </w:r>
      <w:r>
        <w:t xml:space="preserve">. </w:t>
      </w:r>
      <w:proofErr w:type="spellStart"/>
      <w:r>
        <w:t>Horak</w:t>
      </w:r>
      <w:proofErr w:type="spellEnd"/>
      <w:r>
        <w:t xml:space="preserve"> a </w:t>
      </w:r>
      <w:r w:rsidR="00821A0B">
        <w:t xml:space="preserve">ainsi </w:t>
      </w:r>
      <w:r>
        <w:t>déve</w:t>
      </w:r>
      <w:r w:rsidR="00E7198E">
        <w:t>loppé un test permettant d’évaluer l’entièreté des 9 sous-composantes de l’équilibre</w:t>
      </w:r>
      <w:r w:rsidR="000373BC">
        <w:t xml:space="preserve"> : LE </w:t>
      </w:r>
      <w:proofErr w:type="spellStart"/>
      <w:r w:rsidR="000373BC">
        <w:t>BESTest</w:t>
      </w:r>
      <w:proofErr w:type="spellEnd"/>
      <w:r w:rsidR="00263011">
        <w:t xml:space="preserve"> </w:t>
      </w:r>
      <w:r w:rsidR="00263011">
        <w:fldChar w:fldCharType="begin"/>
      </w:r>
      <w:r w:rsidR="00263011">
        <w:instrText xml:space="preserve"> ADDIN ZOTERO_ITEM CSL_CITATION {"citationID":"dhimdx2e","properties":{"formattedCitation":"(Horak et al., 2009)","plainCitation":"(Horak et al., 2009)","noteIndex":0},"citationItems":[{"id":100,"uris":["http://zotero.org/users/10583480/items/DX6V3248"],"itemData":{"id":100,"type":"article-journal","abstract":"Background: Current clinical balance assessment tools do not aim to help therapists identify the underlying postural control systems responsible for poor functional balance. By identifying the disordered systems underlying balance control, therapists can direct specific types of intervention for different types of balance problems., Objective: The goal of this study was to develop a clinical balance assessment tool that aims to target 6 different balance control systems so that specific rehabilitation approaches can be designed for different balance deficits. This article presents the theoretical framework, interrater reliability, and preliminary concurrent validity for this new instrument, the Balance Evaluation Systems Test (BESTest)., Design: The BESTest consists of 36 items, grouped into 6 systems: “Biomechanical Constraints,” “Stability Limits/Verticality,” “Anticipatory Postural Adjustments,” “Postural Responses,” “Sensory Orientation,” and “Stability in Gait.”, Methods: In 2 interrater trials, 22 subjects with and without balance disorders, ranging in age from 50 to 88 years, were rated concurrently on the BESTest by 19 therapists, students, and balance researchers. Concurrent validity was measured by correlation between the BESTest and balance confidence, as assessed with the Activities-specific Balance Confidence (ABC) Scale., Results: Consistent with our theoretical framework, subjects with different diagnoses scored poorly on different sections of the BESTest. The intraclass correlation coefficient (ICC) for interrater reliability for the test as a whole was .91, with the 6 section ICCs ranging from .79 to .96. The Kendall coefficient of concordance among raters ranged from .46 to 1.00 for the 36 individual items. Concurrent validity of the correlation between the BESTest and the ABC Scale was r=.636, P&lt;.01., Limitations: Further testing is needed to determine whether: (1) the sections of the BESTest actually detect independent balance deficits, (2) other systems important for balance control should be added, and (3) a shorter version of the test is possible by eliminating redundant or insensitive items., Conclusions: The BESTest is easy to learn to administer, with excellent reliability and very good validity. It is unique in allowing clinicians to determine the type of balance problems to direct specific treatments for their patients. By organizing clinical balance test items already in use, combined with new items not currently available, the BESTest is the most comprehensive clinical balance tool available and warrants further development.","container-title":"Physical Therapy","DOI":"10.2522/ptj.20080071","ISSN":"0031-9023","issue":"5","journalAbbreviation":"Phys Ther","note":"PMID: 19329772\nPMCID: PMC2676433","page":"484-498","source":"PubMed Central","title":"The Balance Evaluation Systems Test (BESTest) to Differentiate Balance Deficits","volume":"89","author":[{"family":"Horak","given":"Fay B"},{"family":"Wrisley","given":"Diane M"},{"family":"Frank","given":"James"}],"issued":{"date-parts":[["2009",5]]}}}],"schema":"https://github.com/citation-style-language/schema/raw/master/csl-citation.json"} </w:instrText>
      </w:r>
      <w:r w:rsidR="00263011">
        <w:fldChar w:fldCharType="separate"/>
      </w:r>
      <w:r w:rsidR="00263011">
        <w:rPr>
          <w:noProof/>
        </w:rPr>
        <w:t>(Horak et al., 2009)</w:t>
      </w:r>
      <w:r w:rsidR="00263011">
        <w:fldChar w:fldCharType="end"/>
      </w:r>
      <w:r w:rsidR="000373BC">
        <w:t>.</w:t>
      </w:r>
    </w:p>
    <w:p w14:paraId="522103B8" w14:textId="4D9C1B63" w:rsidR="005E7571" w:rsidRDefault="00E02F04" w:rsidP="001C18E0">
      <w:pPr>
        <w:spacing w:line="360" w:lineRule="auto"/>
        <w:ind w:left="397" w:firstLine="227"/>
        <w:jc w:val="both"/>
      </w:pPr>
      <w:r>
        <w:t xml:space="preserve">Le </w:t>
      </w:r>
      <w:proofErr w:type="spellStart"/>
      <w:r>
        <w:t>BESTest</w:t>
      </w:r>
      <w:proofErr w:type="spellEnd"/>
      <w:r>
        <w:t xml:space="preserve"> est le seul outil clinique accessible par les MK français pour évaluer toutes les sous composantes de l’équilibre. Il permet de </w:t>
      </w:r>
      <w:r w:rsidR="00821A0B">
        <w:t>mettre en place</w:t>
      </w:r>
      <w:r>
        <w:t xml:space="preserve"> un traitement spécifique en fonction de chaque déficit identifié. Il est composé de 36 items qui permettent l’exploration des 9 dimensions </w:t>
      </w:r>
      <w:r>
        <w:lastRenderedPageBreak/>
        <w:t>du maintien postural</w:t>
      </w:r>
      <w:r w:rsidR="00D36183">
        <w:t xml:space="preserve"> (figure 4)</w:t>
      </w:r>
      <w:r>
        <w:t xml:space="preserve">. Ces items sont répartis en 6 sections décrites par </w:t>
      </w:r>
      <w:proofErr w:type="spellStart"/>
      <w:r>
        <w:t>Horak</w:t>
      </w:r>
      <w:proofErr w:type="spellEnd"/>
      <w:r>
        <w:t xml:space="preserve"> : les contraintes biomécaniques, les limites de la stabilité, les ajustements posturaux anticipés, la réponse posturale (mouvements réflexes), l’orientation sensorielle et la stabilité de la marche.</w:t>
      </w:r>
      <w:r w:rsidR="00A02C56">
        <w:t xml:space="preserve"> </w:t>
      </w:r>
      <w:r w:rsidR="00552C04">
        <w:t>Les items sont répartis afin d’explorer chacun des 6 systèmes du contrôle postural. Chaque système représent</w:t>
      </w:r>
      <w:r w:rsidR="00821A0B">
        <w:t>e</w:t>
      </w:r>
      <w:r w:rsidR="00552C04">
        <w:t xml:space="preserve"> un mécanisme neurologique jouant un rôle dans le contrôle postural. Ces systèmes peuvent agir indépendamment</w:t>
      </w:r>
      <w:r w:rsidR="00821A0B">
        <w:t>. Cela explique le fait que</w:t>
      </w:r>
      <w:r w:rsidR="00552C04">
        <w:t xml:space="preserve"> certaines pathologies endommage</w:t>
      </w:r>
      <w:r w:rsidR="00821A0B">
        <w:t>nt</w:t>
      </w:r>
      <w:r w:rsidR="00552C04">
        <w:t xml:space="preserve"> seulement un système particulièrement. </w:t>
      </w:r>
      <w:r w:rsidR="00494803">
        <w:t>Chaque patient peut être atteint au niveau d’un système précis</w:t>
      </w:r>
      <w:r w:rsidR="00821A0B">
        <w:t xml:space="preserve">, engendrant ainsi </w:t>
      </w:r>
      <w:r w:rsidR="00494803">
        <w:t>des risques de chutes lors d’activités particulières ou d’environnement propre à l’individu</w:t>
      </w:r>
      <w:r w:rsidR="00BC5B07">
        <w:t xml:space="preserve"> </w:t>
      </w:r>
      <w:r w:rsidR="00BC5B07">
        <w:fldChar w:fldCharType="begin"/>
      </w:r>
      <w:r w:rsidR="00BC5B07">
        <w:instrText xml:space="preserve"> ADDIN ZOTERO_ITEM CSL_CITATION {"citationID":"nYbpkBmQ","properties":{"formattedCitation":"(Sibley, Beauchamp, Van Ooteghem, et al., 2015)","plainCitation":"(Sibley, Beauchamp, Van Ooteghem, et al., 2015)","noteIndex":0},"citationItems":[{"id":156,"uris":["http://zotero.org/users/10583480/items/PDTGEDVF"],"itemData":{"id":156,"type":"article-journal","abstract":"OBJECTIVE: To identify components of postural control included in standardized balance measures for adult populations.\nDATA SOURCES: Electronic searches of MEDLINE, EMBASE, and CINAHL databases using keyword combinations of postural balance/equilibrium, psychometrics/reproducibility of results/predictive value of tests/validation studies, instrument construction/instrument validation, geriatric assessment/disability evaluation, gray literature, and hand searches.\nSTUDY SELECTION: Inclusion criteria were measures with a stated objective to assess balance, adult populations (18y and older), at least 1 psychometric evaluation, 1 standing task, a standardized protocol and evaluation criteria, and published in English. Two reviewers independently identified studies for inclusion. Sixty-six measures were included.\nDATA EXTRACTION: A research assistant extracted descriptive characteristics and 2 reviewers independently coded components of balance in each measure using the Systems Framework for Postural Control, a widely recognized model of balance.\nDATA SYNTHESIS: Components of balance evaluated in these measures were underlying motor systems (100% of measures), anticipatory postural control (71%), dynamic stability (67%), static stability (64%), sensory integration (48%), functional stability limits (27%), reactive postural control (23%), cognitive influences (17%), and verticality (8%). Thirty-four measures evaluated 3 or fewer components of balance, and 1 measure-the Balance Evaluation Systems Test-evaluated all components of balance.\nCONCLUSIONS: Several standardized balance measures provide only partial information on postural control and omit important components of balance related to avoiding falls. As such, the choice of measure(s) may limit the overall interpretation of an individual's balance ability. Continued work is necessary to increase the implementation of comprehensive balance assessment in research and practice.","container-title":"Archives of Physical Medicine and Rehabilitation","DOI":"10.1016/j.apmr.2014.06.021","ISSN":"1532-821X","issue":"1","journalAbbreviation":"Arch Phys Med Rehabil","language":"eng","note":"PMID: 25073007","page":"122-132.e29","source":"PubMed","title":"Using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K."},{"family":"Van Ooteghem","given":"Karen"},{"family":"Straus","given":"Sharon E."},{"family":"Jaglal","given":"Susan B."}],"issued":{"date-parts":[["2015",1]]}}}],"schema":"https://github.com/citation-style-language/schema/raw/master/csl-citation.json"} </w:instrText>
      </w:r>
      <w:r w:rsidR="00BC5B07">
        <w:fldChar w:fldCharType="separate"/>
      </w:r>
      <w:r w:rsidR="00BC5B07">
        <w:rPr>
          <w:noProof/>
        </w:rPr>
        <w:t>(Sibley, Beauchamp, Van Ooteghem, et al., 2015)</w:t>
      </w:r>
      <w:r w:rsidR="00BC5B07">
        <w:fldChar w:fldCharType="end"/>
      </w:r>
      <w:r w:rsidR="00494803">
        <w:t xml:space="preserve">. </w:t>
      </w:r>
      <w:r w:rsidR="00552C04">
        <w:t xml:space="preserve">C’est dans ce cas précis </w:t>
      </w:r>
      <w:r w:rsidR="00821A0B">
        <w:t>qu’</w:t>
      </w:r>
      <w:r w:rsidR="00552C04">
        <w:t>il est crucial pour les MK de pouvoir évaluer chaque système afin d’avoir une prise en soin la plus efficace qu’elle soit</w:t>
      </w:r>
      <w:r w:rsidR="00494803">
        <w:t>. Chaque item est noté de 0 à 3, 0 représente une mauvaise performance et la note de 3 signifie que le patient a réussi à parfaitement exécuter la tâche demandée par le praticien. A la fin du test, le MK obtient donc un score final ainsi qu’un score propre à chaque section</w:t>
      </w:r>
      <w:r w:rsidR="00552C04">
        <w:t xml:space="preserve"> </w:t>
      </w:r>
      <w:r w:rsidR="00552C04">
        <w:fldChar w:fldCharType="begin"/>
      </w:r>
      <w:r w:rsidR="00552C04">
        <w:instrText xml:space="preserve"> ADDIN ZOTERO_ITEM CSL_CITATION {"citationID":"qJs25Zjt","properties":{"formattedCitation":"(Horak et al., 2009)","plainCitation":"(Horak et al., 2009)","noteIndex":0},"citationItems":[{"id":100,"uris":["http://zotero.org/users/10583480/items/DX6V3248"],"itemData":{"id":100,"type":"article-journal","abstract":"Background: Current clinical balance assessment tools do not aim to help therapists identify the underlying postural control systems responsible for poor functional balance. By identifying the disordered systems underlying balance control, therapists can direct specific types of intervention for different types of balance problems., Objective: The goal of this study was to develop a clinical balance assessment tool that aims to target 6 different balance control systems so that specific rehabilitation approaches can be designed for different balance deficits. This article presents the theoretical framework, interrater reliability, and preliminary concurrent validity for this new instrument, the Balance Evaluation Systems Test (BESTest)., Design: The BESTest consists of 36 items, grouped into 6 systems: “Biomechanical Constraints,” “Stability Limits/Verticality,” “Anticipatory Postural Adjustments,” “Postural Responses,” “Sensory Orientation,” and “Stability in Gait.”, Methods: In 2 interrater trials, 22 subjects with and without balance disorders, ranging in age from 50 to 88 years, were rated concurrently on the BESTest by 19 therapists, students, and balance researchers. Concurrent validity was measured by correlation between the BESTest and balance confidence, as assessed with the Activities-specific Balance Confidence (ABC) Scale., Results: Consistent with our theoretical framework, subjects with different diagnoses scored poorly on different sections of the BESTest. The intraclass correlation coefficient (ICC) for interrater reliability for the test as a whole was .91, with the 6 section ICCs ranging from .79 to .96. The Kendall coefficient of concordance among raters ranged from .46 to 1.00 for the 36 individual items. Concurrent validity of the correlation between the BESTest and the ABC Scale was r=.636, P&lt;.01., Limitations: Further testing is needed to determine whether: (1) the sections of the BESTest actually detect independent balance deficits, (2) other systems important for balance control should be added, and (3) a shorter version of the test is possible by eliminating redundant or insensitive items., Conclusions: The BESTest is easy to learn to administer, with excellent reliability and very good validity. It is unique in allowing clinicians to determine the type of balance problems to direct specific treatments for their patients. By organizing clinical balance test items already in use, combined with new items not currently available, the BESTest is the most comprehensive clinical balance tool available and warrants further development.","container-title":"Physical Therapy","DOI":"10.2522/ptj.20080071","ISSN":"0031-9023","issue":"5","journalAbbreviation":"Phys Ther","note":"PMID: 19329772\nPMCID: PMC2676433","page":"484-498","source":"PubMed Central","title":"The Balance Evaluation Systems Test (BESTest) to Differentiate Balance Deficits","volume":"89","author":[{"family":"Horak","given":"Fay B"},{"family":"Wrisley","given":"Diane M"},{"family":"Frank","given":"James"}],"issued":{"date-parts":[["2009",5]]}}}],"schema":"https://github.com/citation-style-language/schema/raw/master/csl-citation.json"} </w:instrText>
      </w:r>
      <w:r w:rsidR="00552C04">
        <w:fldChar w:fldCharType="separate"/>
      </w:r>
      <w:r w:rsidR="00552C04">
        <w:rPr>
          <w:noProof/>
        </w:rPr>
        <w:t>(Horak et al., 2009)</w:t>
      </w:r>
      <w:r w:rsidR="00552C04">
        <w:fldChar w:fldCharType="end"/>
      </w:r>
      <w:r w:rsidR="00552C04">
        <w:t>.</w:t>
      </w:r>
    </w:p>
    <w:p w14:paraId="042B9080" w14:textId="73464A52" w:rsidR="002972E6" w:rsidRDefault="00052574" w:rsidP="001C18E0">
      <w:pPr>
        <w:spacing w:line="360" w:lineRule="auto"/>
        <w:ind w:left="397" w:firstLine="227"/>
        <w:jc w:val="both"/>
      </w:pPr>
      <w:proofErr w:type="spellStart"/>
      <w:r>
        <w:t>Horak</w:t>
      </w:r>
      <w:proofErr w:type="spellEnd"/>
      <w:r>
        <w:t xml:space="preserve"> expose l’idée d’un test plus court en éliminant des items redondant</w:t>
      </w:r>
      <w:r w:rsidR="00821A0B">
        <w:t>s</w:t>
      </w:r>
      <w:r>
        <w:t xml:space="preserve"> ou inintéressant</w:t>
      </w:r>
      <w:r w:rsidR="00821A0B">
        <w:t>s</w:t>
      </w:r>
      <w:r>
        <w:t xml:space="preserve"> permettant de réduire le temps du test. Le test ayant une durée importante (</w:t>
      </w:r>
      <w:r w:rsidR="004830D4">
        <w:t>35-45</w:t>
      </w:r>
      <w:r>
        <w:t xml:space="preserve"> min),  est sous-utilisé en clinique</w:t>
      </w:r>
      <w:r w:rsidR="003F00B7">
        <w:t xml:space="preserve"> </w:t>
      </w:r>
      <w:r w:rsidR="003F00B7">
        <w:fldChar w:fldCharType="begin"/>
      </w:r>
      <w:r w:rsidR="003F00B7">
        <w:instrText xml:space="preserve"> ADDIN ZOTERO_ITEM CSL_CITATION {"citationID":"NAoI73yx","properties":{"formattedCitation":"(Leddy et al., 2011)","plainCitation":"(Leddy et al., 2011)","noteIndex":0},"citationItems":[{"id":224,"uris":["http://zotero.org/users/10583480/items/8A2EEA9S"],"itemData":{"id":224,"type":"article-journal","abstract":"Background and Purpose\nThe Balance Evaluation Systems Test (BESTest) has been shown to be a reliable and valid measure of balance in individuals with Parkinson disease (PD). A less time-consuming assessment may increase clinical utility. We compared the discriminative fall risk ability of the Mini-BESTest to that of the BESTest, and determined the reliability and normal distribution of scores for each section of the BESTest and the Mini-BESTest in individuals with PD.\n\nMethods\nEighty individuals with idiopathic PD were assessed using the BESTest and Mini-BESTest. A faller was defined as an individual with 2 or more falls in the prior 6-months. Subsets of individuals were used to determine inter-rater (n=15) and test-retest reliability (n=24).\n\nResults\nThe Mini-BESTest, total BESTest score, and all sections of the BESTest, showed a significant difference between the average scores of fallers and non-fallers. For both the Mini-BESTest and BESTest, inter-rater (intraclass correlation ICC≥0.91) and test-retest (ICC≥0.88) reliability was high. The Mini-BESTest and BESTest were highly correlated (r=0.955). Accuracy of identifying a faller was comparable for the Mini-BESTest and BESTest (area under the ROC plots =0.86 and =0.84, respectively).\n\nDiscussion\nNo specific section of the BESTest captured the primary balance deficit for individuals with PD. The post-test probabilities for discriminating fallers versus non-fallers were comparable-to-slightly stronger when using the Mini-BESTest.\n\nConclusion\nAlthough the Mini-BESTest has fewer than half of the items in the BESTest and takes only 15 minutes to complete, it is as reliable as the BESTest and has comparable-to-slightly greater discriminative properties for identifying fallers in individuals with Parkinson Disease.","container-title":"Journal of neurologic physical therapy : JNPT","DOI":"10.1097/NPT.0b013e31821a620c","ISSN":"1557-0576","issue":"2","journalAbbreviation":"J Neurol Phys Ther","note":"PMID: 21934364\nPMCID: PMC3178037","page":"90-97","source":"PubMed Central","title":"Utility of the Mini-BESTest, BESTest, and BESTest Sections for Balance Assessments in Individuals with Parkinson Disease","volume":"35","author":[{"family":"Leddy","given":"Abigail L."},{"family":"Crowner","given":"Beth E."},{"family":"Earhart","given":"Gammon M."}],"issued":{"date-parts":[["2011",6]]}}}],"schema":"https://github.com/citation-style-language/schema/raw/master/csl-citation.json"} </w:instrText>
      </w:r>
      <w:r w:rsidR="003F00B7">
        <w:fldChar w:fldCharType="separate"/>
      </w:r>
      <w:r w:rsidR="003F00B7">
        <w:rPr>
          <w:noProof/>
        </w:rPr>
        <w:t>(Leddy et al., 2011)</w:t>
      </w:r>
      <w:r w:rsidR="003F00B7">
        <w:fldChar w:fldCharType="end"/>
      </w:r>
      <w:r>
        <w:t>.</w:t>
      </w:r>
      <w:r w:rsidR="00552C04">
        <w:t xml:space="preserve"> </w:t>
      </w:r>
      <w:r w:rsidR="00263011">
        <w:t xml:space="preserve">Il </w:t>
      </w:r>
      <w:r w:rsidR="006B5C70">
        <w:t>crée</w:t>
      </w:r>
      <w:r w:rsidR="00263011">
        <w:t xml:space="preserve"> le mini </w:t>
      </w:r>
      <w:proofErr w:type="spellStart"/>
      <w:r w:rsidR="00263011">
        <w:t>BESTest</w:t>
      </w:r>
      <w:proofErr w:type="spellEnd"/>
      <w:r w:rsidR="00263011">
        <w:t xml:space="preserve"> </w:t>
      </w:r>
      <w:r w:rsidR="00263011">
        <w:fldChar w:fldCharType="begin"/>
      </w:r>
      <w:r w:rsidR="00263011">
        <w:instrText xml:space="preserve"> ADDIN ZOTERO_ITEM CSL_CITATION {"citationID":"28IvE6Ux","properties":{"formattedCitation":"(Franchignoni et al., 2010)","plainCitation":"(Franchignoni et al., 2010)","noteIndex":0},"citationItems":[{"id":213,"uris":["http://zotero.org/users/10583480/items/TRWHVHJQ"],"itemData":{"id":213,"type":"article-journal","abstract":"Objective\nTo improve, with the aid of psychometric analysis, the Balance Evaluation System’s Test (BESTest), a tool designed to analyse several postural control systems that may contribute to poor functional balance in adults.\n\nMethods\nWe examined performance of the BESTest in a convenience sample of 115 consecutive adult patients with diverse neurological diagnoses and disease severity, referred to rehabilitation for balance disorders. Factor (both explorative and confirmatory) and Rasch analysis were used to process the data in order to produce a new, reduced and coherent balance measurement tool.\n\nResults\nFactor analysis selected 24 out of the 36 original BESTest items likely to represent the unidimensional construct of ‘dynamic balance’. Rasch analysis was then used to: 1) improve the rating categories, and 2) delete 10 items (misfitting or showing local dependency). The model consisting of the remaining 14 tasks was verified with confirmatory factor analysis to meet the stringent requirements of modern measurement.\n\nConclusion\nThe new 14-item scale (dubbed mini-BESTest) focuses on dynamic balance, can be conducted in 10-15 minutes, and contains items belonging evenly to four of the six sections from the original BESTest. Further studies are needed to confirm the usefulness of the mini-BESTest in clinical settings.","container-title":"Journal of rehabilitation medicine : official journal of the UEMS European Board of Physical and Rehabilitation Medicine","DOI":"10.2340/16501977-0537","ISSN":"1650-1977","issue":"4","journalAbbreviation":"J Rehabil Med","note":"PMID: 20461334\nPMCID: PMC3228839","page":"323-331","source":"PubMed Central","title":"Using psychometric techniques to improve the Balance Evaluation System’s Test: the mini-BESTest","title-short":"Using psychometric techniques to improve the Balance Evaluation System’s Test","volume":"42","author":[{"family":"Franchignoni","given":"Franco"},{"family":"Horak","given":"Fay"},{"family":"Godi","given":"Marco"},{"family":"Nardone","given":"Antonio"},{"family":"Giordano","given":"Andrea"}],"issued":{"date-parts":[["2010",4]]}}}],"schema":"https://github.com/citation-style-language/schema/raw/master/csl-citation.json"} </w:instrText>
      </w:r>
      <w:r w:rsidR="00263011">
        <w:fldChar w:fldCharType="separate"/>
      </w:r>
      <w:r w:rsidR="00263011">
        <w:rPr>
          <w:noProof/>
        </w:rPr>
        <w:t>(Franchignoni et al., 2010)</w:t>
      </w:r>
      <w:r w:rsidR="00263011">
        <w:fldChar w:fldCharType="end"/>
      </w:r>
      <w:r w:rsidR="00263011">
        <w:t xml:space="preserve">. Ce nouveau test est réalisable en 10-15 minutes mais ne comporte que 4 des 6 sections du </w:t>
      </w:r>
      <w:proofErr w:type="spellStart"/>
      <w:r w:rsidR="00263011">
        <w:t>BESTest</w:t>
      </w:r>
      <w:proofErr w:type="spellEnd"/>
      <w:r w:rsidR="00263011">
        <w:t>.</w:t>
      </w:r>
      <w:r w:rsidR="00BC5B07">
        <w:t xml:space="preserve"> Dans son étude de 2010, </w:t>
      </w:r>
      <w:proofErr w:type="spellStart"/>
      <w:r w:rsidR="00BC5B07">
        <w:t>Franchignoni</w:t>
      </w:r>
      <w:proofErr w:type="spellEnd"/>
      <w:r w:rsidR="00BC5B07">
        <w:t xml:space="preserve"> </w:t>
      </w:r>
      <w:r w:rsidR="00821A0B">
        <w:t>met</w:t>
      </w:r>
      <w:r w:rsidR="00BC5B07">
        <w:t xml:space="preserve"> en évidence grâce à l’utilisation de l’analyse RASCH </w:t>
      </w:r>
      <w:r w:rsidR="00BC5B07">
        <w:fldChar w:fldCharType="begin"/>
      </w:r>
      <w:r w:rsidR="00BC5B07">
        <w:instrText xml:space="preserve"> ADDIN ZOTERO_ITEM CSL_CITATION {"citationID":"CTrrDQel","properties":{"formattedCitation":"(\\uc0\\u171{}\\uc0\\u160{}Mod\\uc0\\u232{}le de Rasch\\uc0\\u160{}\\uc0\\u187{}, 2020)","plainCitation":"(« Modèle de Rasch », 2020)","noteIndex":0},"citationItems":[{"id":268,"uris":["http://zotero.org/users/10583480/items/DY428UDS"],"itemData":{"id":268,"type":"entry-encyclopedia","abstract":"Le modèle de Rasch est une méthode d'analyse de données statistiques, particulièrement employée en psychométrie pour mesurer des éléments tels que les capacités, les attitudes ou des traits de personnalité de personnes répondant à des questionnaires.\nLe nom du modèle provient du mathématicien danois Georg Rasch.\n\n Portail de la psychologie   Portail des sciences humaines et sociales   Portail des mathématiques","container-title":"Wikipédia","language":"fr","license":"Creative Commons Attribution-ShareAlike License","note":"Page Version ID: 172519334","source":"Wikipedia","title":"Modèle de Rasch","URL":"https://fr.wikipedia.org/w/index.php?title=Mod%C3%A8le_de_Rasch&amp;oldid=172519334","accessed":{"date-parts":[["2025",1,6]]},"issued":{"date-parts":[["2020",7,1]]}}}],"schema":"https://github.com/citation-style-language/schema/raw/master/csl-citation.json"} </w:instrText>
      </w:r>
      <w:r w:rsidR="00BC5B07">
        <w:fldChar w:fldCharType="separate"/>
      </w:r>
      <w:r w:rsidR="00BC5B07" w:rsidRPr="00BC5B07">
        <w:rPr>
          <w:rFonts w:ascii="Calibri" w:cs="Calibri"/>
        </w:rPr>
        <w:t xml:space="preserve">(« Modèle de </w:t>
      </w:r>
      <w:proofErr w:type="spellStart"/>
      <w:r w:rsidR="00BC5B07" w:rsidRPr="00BC5B07">
        <w:rPr>
          <w:rFonts w:ascii="Calibri" w:cs="Calibri"/>
        </w:rPr>
        <w:t>Rasch</w:t>
      </w:r>
      <w:proofErr w:type="spellEnd"/>
      <w:r w:rsidR="00BC5B07" w:rsidRPr="00BC5B07">
        <w:rPr>
          <w:rFonts w:ascii="Calibri" w:cs="Calibri"/>
        </w:rPr>
        <w:t> », 2020)</w:t>
      </w:r>
      <w:r w:rsidR="00BC5B07">
        <w:fldChar w:fldCharType="end"/>
      </w:r>
      <w:r w:rsidR="00BC5B07">
        <w:t xml:space="preserve"> que certains items étaient redondants ou ininterprétables en situation clinique </w:t>
      </w:r>
      <w:r w:rsidR="00BC5B07">
        <w:fldChar w:fldCharType="begin"/>
      </w:r>
      <w:r w:rsidR="00BC5B07">
        <w:instrText xml:space="preserve"> ADDIN ZOTERO_ITEM CSL_CITATION {"citationID":"pHJ3OJYr","properties":{"formattedCitation":"(Franchignoni et al., 2010)","plainCitation":"(Franchignoni et al., 2010)","noteIndex":0},"citationItems":[{"id":213,"uris":["http://zotero.org/users/10583480/items/TRWHVHJQ"],"itemData":{"id":213,"type":"article-journal","abstract":"Objective\nTo improve, with the aid of psychometric analysis, the Balance Evaluation System’s Test (BESTest), a tool designed to analyse several postural control systems that may contribute to poor functional balance in adults.\n\nMethods\nWe examined performance of the BESTest in a convenience sample of 115 consecutive adult patients with diverse neurological diagnoses and disease severity, referred to rehabilitation for balance disorders. Factor (both explorative and confirmatory) and Rasch analysis were used to process the data in order to produce a new, reduced and coherent balance measurement tool.\n\nResults\nFactor analysis selected 24 out of the 36 original BESTest items likely to represent the unidimensional construct of ‘dynamic balance’. Rasch analysis was then used to: 1) improve the rating categories, and 2) delete 10 items (misfitting or showing local dependency). The model consisting of the remaining 14 tasks was verified with confirmatory factor analysis to meet the stringent requirements of modern measurement.\n\nConclusion\nThe new 14-item scale (dubbed mini-BESTest) focuses on dynamic balance, can be conducted in 10-15 minutes, and contains items belonging evenly to four of the six sections from the original BESTest. Further studies are needed to confirm the usefulness of the mini-BESTest in clinical settings.","container-title":"Journal of rehabilitation medicine : official journal of the UEMS European Board of Physical and Rehabilitation Medicine","DOI":"10.2340/16501977-0537","ISSN":"1650-1977","issue":"4","journalAbbreviation":"J Rehabil Med","note":"PMID: 20461334\nPMCID: PMC3228839","page":"323-331","source":"PubMed Central","title":"Using psychometric techniques to improve the Balance Evaluation System’s Test: the mini-BESTest","title-short":"Using psychometric techniques to improve the Balance Evaluation System’s Test","volume":"42","author":[{"family":"Franchignoni","given":"Franco"},{"family":"Horak","given":"Fay"},{"family":"Godi","given":"Marco"},{"family":"Nardone","given":"Antonio"},{"family":"Giordano","given":"Andrea"}],"issued":{"date-parts":[["2010",4]]}}}],"schema":"https://github.com/citation-style-language/schema/raw/master/csl-citation.json"} </w:instrText>
      </w:r>
      <w:r w:rsidR="00BC5B07">
        <w:fldChar w:fldCharType="separate"/>
      </w:r>
      <w:r w:rsidR="00BC5B07">
        <w:rPr>
          <w:noProof/>
        </w:rPr>
        <w:t>(Franchignoni et al., 2010)</w:t>
      </w:r>
      <w:r w:rsidR="00BC5B07">
        <w:fldChar w:fldCharType="end"/>
      </w:r>
      <w:r w:rsidR="00BC5B07">
        <w:t xml:space="preserve">. Le mini </w:t>
      </w:r>
      <w:proofErr w:type="spellStart"/>
      <w:r w:rsidR="00BC5B07">
        <w:t>BESTest</w:t>
      </w:r>
      <w:proofErr w:type="spellEnd"/>
      <w:r w:rsidR="00BC5B07">
        <w:t xml:space="preserve"> permet néanmoins lui aussi de dépister avec fiabilité un risque de chute chez une personne âgée </w:t>
      </w:r>
      <w:r w:rsidR="00BC5B07">
        <w:fldChar w:fldCharType="begin"/>
      </w:r>
      <w:r w:rsidR="00FB2E3C">
        <w:instrText xml:space="preserve"> ADDIN ZOTERO_ITEM CSL_CITATION {"citationID":"nHZdrafX","properties":{"formattedCitation":"(Duncan et al., 2013a)","plainCitation":"(Duncan et al., 2013a)","noteIndex":0},"citationItems":[{"id":265,"uris":["http://zotero.org/users/10583480/items/EX72ILHS"],"itemData":{"id":265,"type":"article-journal","abstract":"Background\nThe newly developed Brief–Balance Evaluation System Test (Brief-BESTest) may be useful for measuring balance and predicting falls in individuals with Parkinson disease (PD).\n\nObjectives\nThe purposes of this study were: (1) to describe the balance performance of those with PD using the Brief-BESTest, (2) to determine the relationships among the scores derived from the 3 versions of the BESTest (ie, full BESTest, Mini-BESTest, and Brief-BESTest), and (3) to compare the accuracy of the Brief-BESTest with that of the Mini-BESTest and BESTest in identifying recurrent fallers among people with PD.\n\nDesign\nThis was a prospective cohort study.\n\nMethods\nEighty participants with PD completed a baseline balance assessment. All participants reported a fall history during the previous 6 months. Fall history was again collected 6 months (n=51) and 12 months (n=40) later.\n\nResults\nAt baseline, participants had varying levels of balance impairment, and Brief-BESTest scores were significantly correlated with Mini-BESTest (r=.94, P&lt;.001) and BESTest (r=.95, P&lt;.001) scores. Six-month retrospective fall prediction accuracy of the Brief-BESTest was moderately high (area under the curve [AUC]=0.82, sensitivity=0.76, and specificity=0.84). Prospective fall prediction accuracy over 6 months was similarly accurate (AUC=0.88, sensitivity=0.71, and specificity=0.87), but was less sensitive over 12 months (AUC=0.76, sensitivity=0.53, and specificity=0.93).\n\nLimitations\nThe sample included primarily individuals with mild to moderate PD. Also, there was a moderate dropout rate at 6 and 12 months.\n\nConclusions\nAll versions of the BESTest were reasonably accurate in identifying future recurrent fallers, especially during the 6 months following assessment. Clinicians can reasonably rely on the Brief-BESTest for predicting falls, particularly when time and equipment constraints are of concern.","container-title":"Physical Therapy","DOI":"10.2522/ptj.20120302","ISSN":"0031-9023","issue":"4","journalAbbreviation":"Phys Ther","note":"PMID: 23174567\nPMCID: PMC3613340","page":"542-550","source":"PubMed Central","title":"Comparative Utility of the BESTest, Mini-BESTest, and Brief-BESTest for Predicting Falls in Individuals With Parkinson Disease: A Cohort Study","title-short":"Comparative Utility of the BESTest, Mini-BESTest, and Brief-BESTest for Predicting Falls in Individuals With Parkinson Disease","volume":"93","author":[{"family":"Duncan","given":"Ryan P."},{"family":"Leddy","given":"Abigail L."},{"family":"Cavanaugh","given":"James T."},{"family":"Dibble","given":"Leland E."},{"family":"Ellis","given":"Terry D."},{"family":"Ford","given":"Matthew P."},{"family":"Foreman","given":"K. Bo"},{"family":"Earhart","given":"Gammon M."}],"issued":{"date-parts":[["2013",4]]}}}],"schema":"https://github.com/citation-style-language/schema/raw/master/csl-citation.json"} </w:instrText>
      </w:r>
      <w:r w:rsidR="00BC5B07">
        <w:fldChar w:fldCharType="separate"/>
      </w:r>
      <w:r w:rsidR="00FB2E3C">
        <w:rPr>
          <w:noProof/>
        </w:rPr>
        <w:t>(Duncan et al., 2013a)</w:t>
      </w:r>
      <w:r w:rsidR="00BC5B07">
        <w:fldChar w:fldCharType="end"/>
      </w:r>
      <w:r w:rsidR="00BC5B07">
        <w:t>.</w:t>
      </w:r>
    </w:p>
    <w:p w14:paraId="0DE41EF2" w14:textId="3E99B894" w:rsidR="00EE2D07" w:rsidRPr="00701476" w:rsidRDefault="003D6554" w:rsidP="001C18E0">
      <w:pPr>
        <w:spacing w:line="360" w:lineRule="auto"/>
        <w:ind w:left="397" w:firstLine="227"/>
        <w:jc w:val="both"/>
        <w:rPr>
          <w:rFonts w:cstheme="minorHAnsi"/>
          <w:i/>
          <w:iCs/>
          <w:color w:val="808080" w:themeColor="background1" w:themeShade="80"/>
        </w:rPr>
      </w:pPr>
      <w:r>
        <w:rPr>
          <w:noProof/>
        </w:rPr>
        <w:lastRenderedPageBreak/>
        <mc:AlternateContent>
          <mc:Choice Requires="wps">
            <w:drawing>
              <wp:anchor distT="0" distB="0" distL="114300" distR="114300" simplePos="0" relativeHeight="251661312" behindDoc="1" locked="0" layoutInCell="1" allowOverlap="1" wp14:anchorId="52BD65C7" wp14:editId="2BE79D08">
                <wp:simplePos x="0" y="0"/>
                <wp:positionH relativeFrom="column">
                  <wp:posOffset>654050</wp:posOffset>
                </wp:positionH>
                <wp:positionV relativeFrom="paragraph">
                  <wp:posOffset>3761105</wp:posOffset>
                </wp:positionV>
                <wp:extent cx="4690745" cy="635"/>
                <wp:effectExtent l="0" t="0" r="0" b="12065"/>
                <wp:wrapTight wrapText="bothSides">
                  <wp:wrapPolygon edited="0">
                    <wp:start x="0" y="0"/>
                    <wp:lineTo x="0" y="0"/>
                    <wp:lineTo x="21521" y="0"/>
                    <wp:lineTo x="21521" y="0"/>
                    <wp:lineTo x="0" y="0"/>
                  </wp:wrapPolygon>
                </wp:wrapTight>
                <wp:docPr id="618364657" name="Zone de texte 1"/>
                <wp:cNvGraphicFramePr/>
                <a:graphic xmlns:a="http://schemas.openxmlformats.org/drawingml/2006/main">
                  <a:graphicData uri="http://schemas.microsoft.com/office/word/2010/wordprocessingShape">
                    <wps:wsp>
                      <wps:cNvSpPr txBox="1"/>
                      <wps:spPr>
                        <a:xfrm>
                          <a:off x="0" y="0"/>
                          <a:ext cx="4690745" cy="635"/>
                        </a:xfrm>
                        <a:prstGeom prst="rect">
                          <a:avLst/>
                        </a:prstGeom>
                        <a:solidFill>
                          <a:prstClr val="white"/>
                        </a:solidFill>
                        <a:ln>
                          <a:noFill/>
                        </a:ln>
                      </wps:spPr>
                      <wps:txbx>
                        <w:txbxContent>
                          <w:p w14:paraId="3CF51F53" w14:textId="42842725" w:rsidR="003D6554" w:rsidRPr="000740E2" w:rsidRDefault="003D6554" w:rsidP="003D6554">
                            <w:pPr>
                              <w:pStyle w:val="Lgende"/>
                              <w:rPr>
                                <w:rFonts w:cstheme="minorHAnsi"/>
                                <w:noProof/>
                                <w:color w:val="808080" w:themeColor="background1" w:themeShade="80"/>
                                <w:sz w:val="22"/>
                                <w:szCs w:val="22"/>
                              </w:rPr>
                            </w:pPr>
                            <w:bookmarkStart w:id="20" w:name="_Toc221441343"/>
                            <w:r>
                              <w:t xml:space="preserve">Figure </w:t>
                            </w:r>
                            <w:r w:rsidR="006B2AE6">
                              <w:fldChar w:fldCharType="begin"/>
                            </w:r>
                            <w:r w:rsidR="006B2AE6">
                              <w:instrText xml:space="preserve"> SEQ Figure \* ARABIC </w:instrText>
                            </w:r>
                            <w:r w:rsidR="006B2AE6">
                              <w:fldChar w:fldCharType="separate"/>
                            </w:r>
                            <w:r w:rsidR="00B93EA8">
                              <w:rPr>
                                <w:noProof/>
                              </w:rPr>
                              <w:t>4</w:t>
                            </w:r>
                            <w:r w:rsidR="006B2AE6">
                              <w:rPr>
                                <w:noProof/>
                              </w:rPr>
                              <w:fldChar w:fldCharType="end"/>
                            </w:r>
                            <w:r>
                              <w:t>: Résumé des items du Balance Evaluation Systems Test (BESTest) regroupés par catégorie de systèmes</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2BD65C7" id="_x0000_t202" coordsize="21600,21600" o:spt="202" path="m,l,21600r21600,l21600,xe">
                <v:stroke joinstyle="miter"/>
                <v:path gradientshapeok="t" o:connecttype="rect"/>
              </v:shapetype>
              <v:shape id="Zone de texte 1" o:spid="_x0000_s1026" type="#_x0000_t202" style="position:absolute;left:0;text-align:left;margin-left:51.5pt;margin-top:296.15pt;width:369.35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" stroked="f">
                <v:textbox style="mso-fit-shape-to-text:t" inset="0,0,0,0">
                  <w:txbxContent>
                    <w:p w14:paraId="3CF51F53" w14:textId="42842725" w:rsidR="003D6554" w:rsidRPr="000740E2" w:rsidRDefault="003D6554" w:rsidP="003D6554">
                      <w:pPr>
                        <w:pStyle w:val="Lgende"/>
                        <w:rPr>
                          <w:rFonts w:cstheme="minorHAnsi"/>
                          <w:noProof/>
                          <w:color w:val="808080" w:themeColor="background1" w:themeShade="80"/>
                          <w:sz w:val="22"/>
                          <w:szCs w:val="22"/>
                        </w:rPr>
                      </w:pPr>
                      <w:bookmarkStart w:id="21" w:name="_Toc221441343"/>
                      <w:r>
                        <w:t xml:space="preserve">Figure </w:t>
                      </w:r>
                      <w:r w:rsidR="006B2AE6">
                        <w:fldChar w:fldCharType="begin"/>
                      </w:r>
                      <w:r w:rsidR="006B2AE6">
                        <w:instrText xml:space="preserve"> SEQ Figure \* ARABIC </w:instrText>
                      </w:r>
                      <w:r w:rsidR="006B2AE6">
                        <w:fldChar w:fldCharType="separate"/>
                      </w:r>
                      <w:r w:rsidR="00B93EA8">
                        <w:rPr>
                          <w:noProof/>
                        </w:rPr>
                        <w:t>4</w:t>
                      </w:r>
                      <w:r w:rsidR="006B2AE6">
                        <w:rPr>
                          <w:noProof/>
                        </w:rPr>
                        <w:fldChar w:fldCharType="end"/>
                      </w:r>
                      <w:r>
                        <w:t>: Résumé des items du Balance Evaluation Systems Test (BESTest) regroupés par catégorie de systèmes</w:t>
                      </w:r>
                      <w:bookmarkEnd w:id="21"/>
                    </w:p>
                  </w:txbxContent>
                </v:textbox>
                <w10:wrap type="tight"/>
              </v:shape>
            </w:pict>
          </mc:Fallback>
        </mc:AlternateContent>
      </w:r>
      <w:r w:rsidR="00EE2D07" w:rsidRPr="00701476">
        <w:rPr>
          <w:rFonts w:cstheme="minorHAnsi"/>
          <w:i/>
          <w:iCs/>
          <w:noProof/>
          <w:color w:val="808080" w:themeColor="background1" w:themeShade="80"/>
        </w:rPr>
        <w:drawing>
          <wp:anchor distT="0" distB="0" distL="114300" distR="114300" simplePos="0" relativeHeight="251659264" behindDoc="1" locked="0" layoutInCell="1" allowOverlap="1" wp14:anchorId="7840AF6C" wp14:editId="1295FD39">
            <wp:simplePos x="0" y="0"/>
            <wp:positionH relativeFrom="column">
              <wp:posOffset>654050</wp:posOffset>
            </wp:positionH>
            <wp:positionV relativeFrom="paragraph">
              <wp:posOffset>557761</wp:posOffset>
            </wp:positionV>
            <wp:extent cx="4690745" cy="3146425"/>
            <wp:effectExtent l="0" t="0" r="0" b="3175"/>
            <wp:wrapTight wrapText="bothSides">
              <wp:wrapPolygon edited="0">
                <wp:start x="0" y="0"/>
                <wp:lineTo x="0" y="21535"/>
                <wp:lineTo x="21521" y="21535"/>
                <wp:lineTo x="21521" y="0"/>
                <wp:lineTo x="0" y="0"/>
              </wp:wrapPolygon>
            </wp:wrapTight>
            <wp:docPr id="958106638" name="Image 1"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109475" name="Image 1" descr="Une image contenant texte, capture d’écran, nombre, Polic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0745" cy="3146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B29533" w14:textId="07DE2D61" w:rsidR="00F41427" w:rsidRDefault="00F41427" w:rsidP="001C18E0">
      <w:pPr>
        <w:spacing w:line="360" w:lineRule="auto"/>
        <w:ind w:left="397" w:firstLine="227"/>
        <w:jc w:val="both"/>
      </w:pPr>
    </w:p>
    <w:p w14:paraId="6C927947" w14:textId="77777777" w:rsidR="00701476" w:rsidRDefault="00701476" w:rsidP="001C18E0">
      <w:pPr>
        <w:pStyle w:val="Titre4"/>
        <w:numPr>
          <w:ilvl w:val="0"/>
          <w:numId w:val="0"/>
        </w:numPr>
        <w:spacing w:line="360" w:lineRule="auto"/>
        <w:ind w:left="2438"/>
        <w:jc w:val="both"/>
      </w:pPr>
    </w:p>
    <w:p w14:paraId="17F9DC27" w14:textId="77777777" w:rsidR="003C1607" w:rsidRDefault="003C1607" w:rsidP="001C18E0">
      <w:pPr>
        <w:spacing w:line="360" w:lineRule="auto"/>
        <w:jc w:val="both"/>
      </w:pPr>
    </w:p>
    <w:p w14:paraId="1F8B2D36" w14:textId="77777777" w:rsidR="003C1607" w:rsidRDefault="003C1607" w:rsidP="001C18E0">
      <w:pPr>
        <w:spacing w:line="360" w:lineRule="auto"/>
        <w:jc w:val="both"/>
      </w:pPr>
    </w:p>
    <w:p w14:paraId="21EE7F7C" w14:textId="77777777" w:rsidR="003C1607" w:rsidRDefault="003C1607" w:rsidP="001C18E0">
      <w:pPr>
        <w:spacing w:line="360" w:lineRule="auto"/>
        <w:jc w:val="both"/>
      </w:pPr>
    </w:p>
    <w:p w14:paraId="15019088" w14:textId="77777777" w:rsidR="003C1607" w:rsidRDefault="003C1607" w:rsidP="001C18E0">
      <w:pPr>
        <w:spacing w:line="360" w:lineRule="auto"/>
        <w:jc w:val="both"/>
      </w:pPr>
    </w:p>
    <w:p w14:paraId="78B175DC" w14:textId="77777777" w:rsidR="003C1607" w:rsidRDefault="003C1607" w:rsidP="001C18E0">
      <w:pPr>
        <w:spacing w:line="360" w:lineRule="auto"/>
        <w:jc w:val="both"/>
      </w:pPr>
    </w:p>
    <w:p w14:paraId="5E75DBF1" w14:textId="77777777" w:rsidR="003C1607" w:rsidRDefault="003C1607" w:rsidP="001C18E0">
      <w:pPr>
        <w:spacing w:line="360" w:lineRule="auto"/>
        <w:jc w:val="both"/>
      </w:pPr>
    </w:p>
    <w:p w14:paraId="235172A2" w14:textId="77777777" w:rsidR="003D6554" w:rsidRDefault="003D6554" w:rsidP="001C18E0">
      <w:pPr>
        <w:spacing w:line="360" w:lineRule="auto"/>
        <w:jc w:val="both"/>
      </w:pPr>
    </w:p>
    <w:p w14:paraId="5E92BE41" w14:textId="77777777" w:rsidR="003D6554" w:rsidRDefault="003D6554" w:rsidP="001C18E0">
      <w:pPr>
        <w:spacing w:line="360" w:lineRule="auto"/>
        <w:jc w:val="both"/>
      </w:pPr>
    </w:p>
    <w:p w14:paraId="0C26C0E1" w14:textId="77777777" w:rsidR="003C1607" w:rsidRDefault="003C1607" w:rsidP="001C18E0">
      <w:pPr>
        <w:spacing w:line="360" w:lineRule="auto"/>
        <w:jc w:val="both"/>
      </w:pPr>
    </w:p>
    <w:p w14:paraId="45F223CA" w14:textId="77777777" w:rsidR="003C1607" w:rsidRPr="002C351D" w:rsidRDefault="003C1607" w:rsidP="003170C9">
      <w:pPr>
        <w:spacing w:line="360" w:lineRule="auto"/>
        <w:jc w:val="both"/>
      </w:pPr>
    </w:p>
    <w:p w14:paraId="489E022F" w14:textId="79FC1A8B" w:rsidR="00E029DB" w:rsidRPr="003170C9" w:rsidRDefault="00E029DB" w:rsidP="003170C9">
      <w:pPr>
        <w:pStyle w:val="Titre4"/>
        <w:spacing w:line="360" w:lineRule="auto"/>
        <w:jc w:val="both"/>
      </w:pPr>
      <w:r w:rsidRPr="003170C9">
        <w:t xml:space="preserve">Autres tests fonctionnels courants </w:t>
      </w:r>
    </w:p>
    <w:p w14:paraId="0D445A45" w14:textId="1C077623" w:rsidR="00E029DB" w:rsidRPr="002C351D" w:rsidRDefault="009D7350" w:rsidP="003170C9">
      <w:pPr>
        <w:spacing w:line="360" w:lineRule="auto"/>
        <w:jc w:val="both"/>
      </w:pPr>
      <w:r w:rsidRPr="002C351D">
        <w:tab/>
        <w:t xml:space="preserve">Le </w:t>
      </w:r>
      <w:proofErr w:type="spellStart"/>
      <w:r w:rsidRPr="002C351D">
        <w:t>Time</w:t>
      </w:r>
      <w:r w:rsidR="004E1703" w:rsidRPr="002C351D">
        <w:t>d</w:t>
      </w:r>
      <w:proofErr w:type="spellEnd"/>
      <w:r w:rsidR="004E1703" w:rsidRPr="002C351D">
        <w:t xml:space="preserve"> </w:t>
      </w:r>
      <w:r w:rsidRPr="002C351D">
        <w:t xml:space="preserve">UP and GO (TUG) est un test chronométré demandant au patient de se lever d’une chaise, de marcher 3 mètres, d’opérer un demi-tour, </w:t>
      </w:r>
      <w:r w:rsidR="00821A0B">
        <w:t xml:space="preserve">de </w:t>
      </w:r>
      <w:r w:rsidRPr="002C351D">
        <w:t xml:space="preserve">revenir à la chaise et de se rasseoir. Il est reconnu comme un excellent outil de dépistage rapide du risque de chute. Il évalue la mobilité fonctionnelle de base et la vitesse de marche. Contrairement au </w:t>
      </w:r>
      <w:proofErr w:type="spellStart"/>
      <w:r w:rsidRPr="002C351D">
        <w:t>BESTest</w:t>
      </w:r>
      <w:proofErr w:type="spellEnd"/>
      <w:r w:rsidRPr="002C351D">
        <w:t xml:space="preserve">, le score global (c’est-à-dire le temps) ne permet pas de différencier précisément le système déficitaire. Il n’évalue pas l’aspect cognitif, l’intégration sensorielle et le contrôle postural réactif </w:t>
      </w:r>
      <w:r w:rsidRPr="002C351D">
        <w:fldChar w:fldCharType="begin"/>
      </w:r>
      <w:r w:rsidRPr="002C351D">
        <w:instrText xml:space="preserve"> ADDIN ZOTERO_ITEM CSL_CITATION {"citationID":"Qm5IZjOe","properties":{"formattedCitation":"(Podsiadlo &amp; Richardson, 1991)","plainCitation":"(Podsiadlo &amp; Richardson, 1991)","noteIndex":0},"citationItems":[{"id":547,"uris":["http://zotero.org/users/10583480/items/S5IIGLB6"],"itemData":{"id":547,"type":"article-journal","abstract":"This study evaluated a modified, timed version of the \"Get-Up and Go\" Test (Mathias et al, 1986) in 60 patients referred to a Geriatric Day Hospital (mean age 79.5 years). The patient is observed and timed while he rises from an arm chair, walks 3 meters, turns, walks back, and sits down again. The results indicate that the time score is (1) reliable (inter-rater and intra-rater); (2) correlates well with log-transformed scores on the Berg Balance Scale (r = -0.81), gait speed (r = -0.61) and Barthel Index of ADL (r = -0.78); and (3) appears to predict the patient's ability to go outside alone safely. These data suggest that the timed \"Up &amp; Go\" test is a reliable and valid test for quantifying functional mobility that may also be useful in following clinical change over time. The test is quick, requires no special equipment or training, and is easily included as part of the routine medical examination.","container-title":"Journal of the American Geriatrics Society","DOI":"10.1111/j.1532-5415.1991.tb01616.x","ISSN":"0002-8614","issue":"2","journalAbbreviation":"J Am Geriatr Soc","language":"eng","note":"PMID: 1991946","page":"142-148","source":"PubMed","title":"The timed \"Up &amp; Go\": a test of basic functional mobility for frail elderly persons","title-short":"The timed \"Up &amp; Go\"","volume":"39","author":[{"family":"Podsiadlo","given":"D."},{"family":"Richardson","given":"S."}],"issued":{"date-parts":[["1991",2]]}}}],"schema":"https://github.com/citation-style-language/schema/raw/master/csl-citation.json"} </w:instrText>
      </w:r>
      <w:r w:rsidRPr="002C351D">
        <w:fldChar w:fldCharType="separate"/>
      </w:r>
      <w:r w:rsidRPr="002C351D">
        <w:rPr>
          <w:noProof/>
        </w:rPr>
        <w:t>(Podsiadlo &amp; Richardson, 1991)</w:t>
      </w:r>
      <w:r w:rsidRPr="002C351D">
        <w:fldChar w:fldCharType="end"/>
      </w:r>
      <w:r w:rsidRPr="002C351D">
        <w:t xml:space="preserve">. </w:t>
      </w:r>
    </w:p>
    <w:p w14:paraId="70B0C654" w14:textId="77777777" w:rsidR="009D7350" w:rsidRPr="002C351D" w:rsidRDefault="009D7350" w:rsidP="001C18E0">
      <w:pPr>
        <w:spacing w:line="360" w:lineRule="auto"/>
        <w:jc w:val="both"/>
      </w:pPr>
    </w:p>
    <w:p w14:paraId="6DDC293E" w14:textId="4B9A9265" w:rsidR="004E1703" w:rsidRPr="002C351D" w:rsidRDefault="009D7350" w:rsidP="001C18E0">
      <w:pPr>
        <w:spacing w:line="360" w:lineRule="auto"/>
        <w:jc w:val="both"/>
      </w:pPr>
      <w:r w:rsidRPr="002C351D">
        <w:tab/>
        <w:t xml:space="preserve">L’échelle d’Équilibre de Berg (Berg Balance </w:t>
      </w:r>
      <w:proofErr w:type="spellStart"/>
      <w:r w:rsidRPr="002C351D">
        <w:t>Scale</w:t>
      </w:r>
      <w:proofErr w:type="spellEnd"/>
      <w:r w:rsidRPr="002C351D">
        <w:t xml:space="preserve"> – BBS) est une échelle composée de 14 items notés de 0 à 4. La note de 4 étant attribué</w:t>
      </w:r>
      <w:r w:rsidR="00BB58F8">
        <w:t>e</w:t>
      </w:r>
      <w:r w:rsidRPr="002C351D">
        <w:t xml:space="preserve"> lorsque le patient réussi</w:t>
      </w:r>
      <w:r w:rsidR="00BB58F8">
        <w:t>t</w:t>
      </w:r>
      <w:r w:rsidRPr="002C351D">
        <w:t xml:space="preserve"> parfaitement le mouvement. Elle évalue la capacité du patient à maintenir son équilibre lors de tâches statiques et dynamiques ainsi que </w:t>
      </w:r>
      <w:r w:rsidR="004E1703" w:rsidRPr="002C351D">
        <w:t>les ajustements posturaux</w:t>
      </w:r>
      <w:r w:rsidRPr="002C351D">
        <w:t xml:space="preserve"> anticipés. </w:t>
      </w:r>
      <w:r w:rsidR="004E1703" w:rsidRPr="002C351D">
        <w:t xml:space="preserve">L’échelle de Berg présente un effet plafond limitant le dépistage de déficit chez un patient autonome </w:t>
      </w:r>
      <w:r w:rsidR="004E1703" w:rsidRPr="002C351D">
        <w:fldChar w:fldCharType="begin"/>
      </w:r>
      <w:r w:rsidR="004E1703" w:rsidRPr="002C351D">
        <w:instrText xml:space="preserve"> ADDIN ZOTERO_ITEM CSL_CITATION {"citationID":"Et9Ah3Z3","properties":{"formattedCitation":"(Berg et al., 1992; Sibley, Beauchamp, Van Ooteghem, et al., 2015)","plainCitation":"(Berg et al., 1992; Sibley, Beauchamp, Van Ooteghem, et al., 2015)","noteIndex":0},"citationItems":[{"id":549,"uris":["http://zotero.org/users/10583480/items/N3IL49YT"],"itemData":{"id":549,"type":"article-journal","abstract":"This study assessed the validity of the Balance Scale by examining: how Scale scores related to clinical judgements and self-perceptions of balance, laboratory measures of postural sway and external criteria reflecting balancing ability; if scores could predict falls in the elderly; and how they related to motor and functional performance in stroke patients. Elderly residents (N = 113) were assessed for functional performance and balance regularly over a nine-month period. Occurrence of falls was monitored for a year. Acute stroke patients (N = 70) were periodically rated for functional independence, motor performance and balance for over three months. Thirty-one elderly subjects were assessed by clinical and laboratory indicators reflecting balancing ability. The Scale correlated moderately with caregiver ratings, self-ratings and laboratory measures of sway. Differences in mean Scale scores were consistent with the use of mobility aids by elderly residents and differentiated stroke patients by location of follow-up. Balance scores predicted the occurrence of multiple falls among elderly residents and were strongly correlated with functional and motor performance in stroke patients.","container-title":"Canadian Journal of Public Health = Revue Canadienne De Sante Publique","ISSN":"0008-4263","journalAbbreviation":"Can J Public Health","language":"eng","note":"PMID: 1468055","page":"S7-11","source":"PubMed","title":"Measuring balance in the elderly: validation of an instrument","title-short":"Measuring balance in the elderly","volume":"83 Suppl 2","author":[{"family":"Berg","given":"K. O."},{"family":"Wood-Dauphinee","given":"S. L."},{"family":"Williams","given":"J. I."},{"family":"Maki","given":"B."}],"issued":{"date-parts":[["1992"]]}}},{"id":156,"uris":["http://zotero.org/users/10583480/items/PDTGEDVF"],"itemData":{"id":156,"type":"article-journal","abstract":"OBJECTIVE: To identify components of postural control included in standardized balance measures for adult populations.\nDATA SOURCES: Electronic searches of MEDLINE, EMBASE, and CINAHL databases using keyword combinations of postural balance/equilibrium, psychometrics/reproducibility of results/predictive value of tests/validation studies, instrument construction/instrument validation, geriatric assessment/disability evaluation, gray literature, and hand searches.\nSTUDY SELECTION: Inclusion criteria were measures with a stated objective to assess balance, adult populations (18y and older), at least 1 psychometric evaluation, 1 standing task, a standardized protocol and evaluation criteria, and published in English. Two reviewers independently identified studies for inclusion. Sixty-six measures were included.\nDATA EXTRACTION: A research assistant extracted descriptive characteristics and 2 reviewers independently coded components of balance in each measure using the Systems Framework for Postural Control, a widely recognized model of balance.\nDATA SYNTHESIS: Components of balance evaluated in these measures were underlying motor systems (100% of measures), anticipatory postural control (71%), dynamic stability (67%), static stability (64%), sensory integration (48%), functional stability limits (27%), reactive postural control (23%), cognitive influences (17%), and verticality (8%). Thirty-four measures evaluated 3 or fewer components of balance, and 1 measure-the Balance Evaluation Systems Test-evaluated all components of balance.\nCONCLUSIONS: Several standardized balance measures provide only partial information on postural control and omit important components of balance related to avoiding falls. As such, the choice of measure(s) may limit the overall interpretation of an individual's balance ability. Continued work is necessary to increase the implementation of comprehensive balance assessment in research and practice.","container-title":"Archives of Physical Medicine and Rehabilitation","DOI":"10.1016/j.apmr.2014.06.021","ISSN":"1532-821X","issue":"1","journalAbbreviation":"Arch Phys Med Rehabil","language":"eng","note":"PMID: 25073007","page":"122-132.e29","source":"PubMed","title":"Using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K."},{"family":"Van Ooteghem","given":"Karen"},{"family":"Straus","given":"Sharon E."},{"family":"Jaglal","given":"Susan B."}],"issued":{"date-parts":[["2015",1]]}}}],"schema":"https://github.com/citation-style-language/schema/raw/master/csl-citation.json"} </w:instrText>
      </w:r>
      <w:r w:rsidR="004E1703" w:rsidRPr="002C351D">
        <w:fldChar w:fldCharType="separate"/>
      </w:r>
      <w:r w:rsidR="004E1703" w:rsidRPr="002C351D">
        <w:rPr>
          <w:noProof/>
        </w:rPr>
        <w:t>(Berg et al., 1992; Sibley, Beauchamp, Van Ooteghem, et al., 2015)</w:t>
      </w:r>
      <w:r w:rsidR="004E1703" w:rsidRPr="002C351D">
        <w:fldChar w:fldCharType="end"/>
      </w:r>
      <w:r w:rsidR="004E1703" w:rsidRPr="002C351D">
        <w:t xml:space="preserve">. Le test de Tinetti ressemble à l’échelle de BERG mais il est possible d’effectuer le test avec une aide technique </w:t>
      </w:r>
      <w:r w:rsidR="004E1703" w:rsidRPr="002C351D">
        <w:fldChar w:fldCharType="begin"/>
      </w:r>
      <w:r w:rsidR="004E1703" w:rsidRPr="002C351D">
        <w:instrText xml:space="preserve"> ADDIN ZOTERO_ITEM CSL_CITATION {"citationID":"kKx7hzZ6","properties":{"formattedCitation":"(Tinetti, 1986)","plainCitation":"(Tinetti, 1986)","noteIndex":0},"citationItems":[{"id":551,"uris":["http://zotero.org/users/10583480/items/8EA5PWFS"],"itemData":{"id":551,"type":"article-journal","container-title":"Journal of the American Geriatrics Society","DOI":"10.1111/j.1532-5415.1986.tb05480.x","ISSN":"0002-8614","issue":"2","journalAbbreviation":"J Am Geriatr Soc","language":"eng","note":"PMID: 3944402","page":"119-126","source":"PubMed","title":"Performance-oriented assessment of mobility problems in elderly patients","volume":"34","author":[{"family":"Tinetti","given":"M. E."}],"issued":{"date-parts":[["1986",2]]}}}],"schema":"https://github.com/citation-style-language/schema/raw/master/csl-citation.json"} </w:instrText>
      </w:r>
      <w:r w:rsidR="004E1703" w:rsidRPr="002C351D">
        <w:fldChar w:fldCharType="separate"/>
      </w:r>
      <w:r w:rsidR="004E1703" w:rsidRPr="002C351D">
        <w:rPr>
          <w:noProof/>
        </w:rPr>
        <w:t>(Tinetti, 1986)</w:t>
      </w:r>
      <w:r w:rsidR="004E1703" w:rsidRPr="002C351D">
        <w:fldChar w:fldCharType="end"/>
      </w:r>
      <w:r w:rsidR="004E1703" w:rsidRPr="002C351D">
        <w:t>.</w:t>
      </w:r>
    </w:p>
    <w:p w14:paraId="41805C0D" w14:textId="77777777" w:rsidR="004E1703" w:rsidRPr="002C351D" w:rsidRDefault="004E1703" w:rsidP="001C18E0">
      <w:pPr>
        <w:spacing w:line="360" w:lineRule="auto"/>
        <w:jc w:val="both"/>
      </w:pPr>
    </w:p>
    <w:p w14:paraId="2A9A8F88" w14:textId="0DF28999" w:rsidR="00E029DB" w:rsidRPr="002C351D" w:rsidRDefault="004E1703" w:rsidP="001C18E0">
      <w:pPr>
        <w:spacing w:line="360" w:lineRule="auto"/>
        <w:jc w:val="both"/>
      </w:pPr>
      <w:r w:rsidRPr="002C351D">
        <w:tab/>
        <w:t xml:space="preserve">Le Single Leg Stance ou test d’appui unipodal est une mesure rapide consistant à demander au patient de se tenir debout sur une jambe pendant un temps </w:t>
      </w:r>
      <w:r w:rsidR="002C351D" w:rsidRPr="002C351D">
        <w:t>défini</w:t>
      </w:r>
      <w:r w:rsidRPr="002C351D">
        <w:t xml:space="preserve"> (généralement 30 secondes)</w:t>
      </w:r>
      <w:r w:rsidR="002C351D" w:rsidRPr="002C351D">
        <w:t xml:space="preserve"> ou jusqu’au déséquilibre</w:t>
      </w:r>
      <w:r w:rsidRPr="002C351D">
        <w:t xml:space="preserve">. </w:t>
      </w:r>
      <w:r w:rsidR="002C351D" w:rsidRPr="002C351D">
        <w:t xml:space="preserve">Il constitue un indicateur sur la capacité du patient à transférer son poids et de maintenir son centre de gravité au niveau du polygone de sustentation réduit. Un temps de maintien faible est en corrélation avec un risque de chute </w:t>
      </w:r>
      <w:r w:rsidR="002C351D" w:rsidRPr="002C351D">
        <w:fldChar w:fldCharType="begin"/>
      </w:r>
      <w:r w:rsidR="002C351D" w:rsidRPr="002C351D">
        <w:instrText xml:space="preserve"> ADDIN ZOTERO_ITEM CSL_CITATION {"citationID":"TboMYagR","properties":{"formattedCitation":"(Delfa-de-la-Morena et al., 2024)","plainCitation":"(Delfa-de-la-Morena et al., 2024)","noteIndex":0},"citationItems":[{"id":553,"uris":["http://zotero.org/users/10583480/items/E6KUUNFP"],"itemData":{"id":553,"type":"article-journal","abstract":"Objective: This study investigates the relationship between lower limb strength and postural stability in single-leg stance using the Balance Master system. Methods: The research involved 64 participants divided into sedentary and physically active groups based on metabolic equivalents of task (METs) values, normal weight, overweight, and obese according to body composition. Postural control was evaluated using the Sensory Organization Test. Results: The results showed that there were no significant differences in mean and maximum lower limb strength between the groups. Furthermore, postural stability in open and closed eyes conditions did not show significant differences between the groups. However, a significant positive correlation was observed between lower limb strength and stability in single-leg stance with eyes open. Conclusions: These findings suggest that lower limb muscle strength is essential for postural stability, especially when vision is available to aid balance. The study highlights the importance of interventions focused on strengthening muscles to improve physical functionality in adults.","container-title":"Journal of Functional Morphology and Kinesiology","DOI":"10.3390/jfmk9040282","ISSN":"2411-5142","issue":"4","journalAbbreviation":"J Funct Morphol Kinesiol","note":"PMID: 39728266\nPMCID: PMC11678305","page":"282","source":"PubMed Central","title":"Single-Leg Balance and Lower Limb Strength: Quantitative Analysis with the Balance Master System","title-short":"Single-Leg Balance and Lower Limb Strength","volume":"9","author":[{"family":"Delfa-de-la-Morena","given":"José Manuel"},{"family":"Paes","given":"Pedro Pinheiro"},{"family":"Oliveira","given":"Débora Priscila Lima","non-dropping-particle":"de"},{"family":"Júnior","given":"Frederico Camarotti"},{"family":"Lima","given":"Bruna Daniele Monteiro"},{"family":"García-González","given":"Miriam"},{"family":"Mijarra-Murillo","given":"Juan-José"},{"family":"Riquelme-Aguado","given":"Víctor"}],"issued":{"date-parts":[["2024",12,21]]}}}],"schema":"https://github.com/citation-style-language/schema/raw/master/csl-citation.json"} </w:instrText>
      </w:r>
      <w:r w:rsidR="002C351D" w:rsidRPr="002C351D">
        <w:fldChar w:fldCharType="separate"/>
      </w:r>
      <w:r w:rsidR="002C351D" w:rsidRPr="002C351D">
        <w:rPr>
          <w:noProof/>
        </w:rPr>
        <w:t>(Delfa-de-la-Morena et al., 2024)</w:t>
      </w:r>
      <w:r w:rsidR="002C351D" w:rsidRPr="002C351D">
        <w:fldChar w:fldCharType="end"/>
      </w:r>
    </w:p>
    <w:p w14:paraId="401865BE" w14:textId="2C956A55" w:rsidR="00E029DB" w:rsidRPr="002C351D" w:rsidRDefault="002C351D" w:rsidP="001C18E0">
      <w:pPr>
        <w:pStyle w:val="NormalWeb"/>
        <w:spacing w:line="360" w:lineRule="auto"/>
        <w:jc w:val="both"/>
        <w:rPr>
          <w:rFonts w:asciiTheme="minorHAnsi" w:hAnsiTheme="minorHAnsi" w:cstheme="minorHAnsi"/>
          <w:color w:val="000000"/>
          <w:sz w:val="22"/>
          <w:szCs w:val="22"/>
        </w:rPr>
      </w:pPr>
      <w:r w:rsidRPr="002C351D">
        <w:rPr>
          <w:rFonts w:asciiTheme="minorHAnsi" w:hAnsiTheme="minorHAnsi" w:cstheme="minorHAnsi"/>
          <w:color w:val="000000"/>
          <w:sz w:val="22"/>
          <w:szCs w:val="22"/>
        </w:rPr>
        <w:tab/>
      </w:r>
      <w:r w:rsidR="00E029DB" w:rsidRPr="002C351D">
        <w:rPr>
          <w:rFonts w:asciiTheme="minorHAnsi" w:hAnsiTheme="minorHAnsi" w:cstheme="minorHAnsi"/>
          <w:color w:val="000000"/>
          <w:sz w:val="22"/>
          <w:szCs w:val="22"/>
        </w:rPr>
        <w:t xml:space="preserve">L'analyse descriptive révèle que le TUG, la BBS et le </w:t>
      </w:r>
      <w:r w:rsidR="004E1703" w:rsidRPr="002C351D">
        <w:rPr>
          <w:rFonts w:asciiTheme="minorHAnsi" w:hAnsiTheme="minorHAnsi" w:cstheme="minorHAnsi"/>
          <w:color w:val="000000"/>
          <w:sz w:val="22"/>
          <w:szCs w:val="22"/>
        </w:rPr>
        <w:t xml:space="preserve">Single Leg Stance </w:t>
      </w:r>
      <w:r w:rsidR="00E029DB" w:rsidRPr="002C351D">
        <w:rPr>
          <w:rFonts w:asciiTheme="minorHAnsi" w:hAnsiTheme="minorHAnsi" w:cstheme="minorHAnsi"/>
          <w:color w:val="000000"/>
          <w:sz w:val="22"/>
          <w:szCs w:val="22"/>
        </w:rPr>
        <w:t>sont des outils de</w:t>
      </w:r>
      <w:r w:rsidR="00E029DB" w:rsidRPr="002C351D">
        <w:rPr>
          <w:rStyle w:val="apple-converted-space"/>
          <w:rFonts w:asciiTheme="minorHAnsi" w:hAnsiTheme="minorHAnsi" w:cstheme="minorHAnsi"/>
          <w:color w:val="000000"/>
          <w:sz w:val="22"/>
          <w:szCs w:val="22"/>
        </w:rPr>
        <w:t> </w:t>
      </w:r>
      <w:r w:rsidR="00E029DB" w:rsidRPr="002C351D">
        <w:rPr>
          <w:rFonts w:asciiTheme="minorHAnsi" w:hAnsiTheme="minorHAnsi" w:cstheme="minorHAnsi"/>
          <w:color w:val="000000"/>
          <w:sz w:val="22"/>
          <w:szCs w:val="22"/>
        </w:rPr>
        <w:t>dépistage global</w:t>
      </w:r>
      <w:r w:rsidR="00E029DB" w:rsidRPr="002C351D">
        <w:rPr>
          <w:rStyle w:val="apple-converted-space"/>
          <w:rFonts w:asciiTheme="minorHAnsi" w:hAnsiTheme="minorHAnsi" w:cstheme="minorHAnsi"/>
          <w:color w:val="000000"/>
          <w:sz w:val="22"/>
          <w:szCs w:val="22"/>
        </w:rPr>
        <w:t> </w:t>
      </w:r>
      <w:r w:rsidR="00E029DB" w:rsidRPr="002C351D">
        <w:rPr>
          <w:rFonts w:asciiTheme="minorHAnsi" w:hAnsiTheme="minorHAnsi" w:cstheme="minorHAnsi"/>
          <w:color w:val="000000"/>
          <w:sz w:val="22"/>
          <w:szCs w:val="22"/>
        </w:rPr>
        <w:t>validés en gériatrie.</w:t>
      </w:r>
      <w:r w:rsidR="00E029DB" w:rsidRPr="002C351D">
        <w:rPr>
          <w:rStyle w:val="apple-converted-space"/>
          <w:rFonts w:asciiTheme="minorHAnsi" w:hAnsiTheme="minorHAnsi" w:cstheme="minorHAnsi"/>
          <w:color w:val="000000"/>
          <w:sz w:val="22"/>
          <w:szCs w:val="22"/>
        </w:rPr>
        <w:t> </w:t>
      </w:r>
      <w:r w:rsidR="00E029DB" w:rsidRPr="002C351D">
        <w:rPr>
          <w:rStyle w:val="citation-2129"/>
          <w:rFonts w:asciiTheme="minorHAnsi" w:eastAsiaTheme="majorEastAsia" w:hAnsiTheme="minorHAnsi" w:cstheme="minorHAnsi"/>
          <w:color w:val="000000"/>
          <w:sz w:val="22"/>
          <w:szCs w:val="22"/>
        </w:rPr>
        <w:t>Toutefois, en comparaison avec l'impératif d'une évaluation multifactorielle (</w:t>
      </w:r>
      <w:proofErr w:type="spellStart"/>
      <w:r w:rsidR="00E029DB" w:rsidRPr="002C351D">
        <w:rPr>
          <w:rStyle w:val="citation-2129"/>
          <w:rFonts w:asciiTheme="minorHAnsi" w:eastAsiaTheme="majorEastAsia" w:hAnsiTheme="minorHAnsi" w:cstheme="minorHAnsi"/>
          <w:color w:val="000000"/>
          <w:sz w:val="22"/>
          <w:szCs w:val="22"/>
        </w:rPr>
        <w:t>BESTest</w:t>
      </w:r>
      <w:proofErr w:type="spellEnd"/>
      <w:r w:rsidR="00E029DB" w:rsidRPr="002C351D">
        <w:rPr>
          <w:rStyle w:val="citation-2129"/>
          <w:rFonts w:asciiTheme="minorHAnsi" w:eastAsiaTheme="majorEastAsia" w:hAnsiTheme="minorHAnsi" w:cstheme="minorHAnsi"/>
          <w:color w:val="000000"/>
          <w:sz w:val="22"/>
          <w:szCs w:val="22"/>
        </w:rPr>
        <w:t>/Mini-</w:t>
      </w:r>
      <w:proofErr w:type="spellStart"/>
      <w:r w:rsidR="00E029DB" w:rsidRPr="002C351D">
        <w:rPr>
          <w:rStyle w:val="citation-2129"/>
          <w:rFonts w:asciiTheme="minorHAnsi" w:eastAsiaTheme="majorEastAsia" w:hAnsiTheme="minorHAnsi" w:cstheme="minorHAnsi"/>
          <w:color w:val="000000"/>
          <w:sz w:val="22"/>
          <w:szCs w:val="22"/>
        </w:rPr>
        <w:t>BESTest</w:t>
      </w:r>
      <w:proofErr w:type="spellEnd"/>
      <w:r w:rsidR="00E029DB" w:rsidRPr="002C351D">
        <w:rPr>
          <w:rStyle w:val="citation-2129"/>
          <w:rFonts w:asciiTheme="minorHAnsi" w:eastAsiaTheme="majorEastAsia" w:hAnsiTheme="minorHAnsi" w:cstheme="minorHAnsi"/>
          <w:color w:val="000000"/>
          <w:sz w:val="22"/>
          <w:szCs w:val="22"/>
        </w:rPr>
        <w:t>), ils partagent une limite fondamentale : ils n'offrent pas le</w:t>
      </w:r>
      <w:r w:rsidR="00E029DB" w:rsidRPr="002C351D">
        <w:rPr>
          <w:rStyle w:val="apple-converted-space"/>
          <w:rFonts w:asciiTheme="minorHAnsi" w:hAnsiTheme="minorHAnsi" w:cstheme="minorHAnsi"/>
          <w:color w:val="000000"/>
          <w:sz w:val="22"/>
          <w:szCs w:val="22"/>
        </w:rPr>
        <w:t> </w:t>
      </w:r>
      <w:r w:rsidR="00E029DB" w:rsidRPr="002C351D">
        <w:rPr>
          <w:rStyle w:val="citation-2129"/>
          <w:rFonts w:asciiTheme="minorHAnsi" w:eastAsiaTheme="majorEastAsia" w:hAnsiTheme="minorHAnsi" w:cstheme="minorHAnsi"/>
          <w:color w:val="000000"/>
          <w:sz w:val="22"/>
          <w:szCs w:val="22"/>
        </w:rPr>
        <w:t>diagnostic fonctionnel différentiel</w:t>
      </w:r>
      <w:r w:rsidR="00E029DB" w:rsidRPr="002C351D">
        <w:rPr>
          <w:rStyle w:val="apple-converted-space"/>
          <w:rFonts w:asciiTheme="minorHAnsi" w:hAnsiTheme="minorHAnsi" w:cstheme="minorHAnsi"/>
          <w:color w:val="000000"/>
          <w:sz w:val="22"/>
          <w:szCs w:val="22"/>
        </w:rPr>
        <w:t> </w:t>
      </w:r>
      <w:r w:rsidR="00E029DB" w:rsidRPr="002C351D">
        <w:rPr>
          <w:rStyle w:val="citation-2129"/>
          <w:rFonts w:asciiTheme="minorHAnsi" w:eastAsiaTheme="majorEastAsia" w:hAnsiTheme="minorHAnsi" w:cstheme="minorHAnsi"/>
          <w:color w:val="000000"/>
          <w:sz w:val="22"/>
          <w:szCs w:val="22"/>
        </w:rPr>
        <w:t>des neuf sous-composantes de l'équilibre</w:t>
      </w:r>
      <w:r w:rsidR="00E029DB" w:rsidRPr="002C351D">
        <w:rPr>
          <w:rFonts w:asciiTheme="minorHAnsi" w:hAnsiTheme="minorHAnsi" w:cstheme="minorHAnsi"/>
          <w:color w:val="000000"/>
          <w:sz w:val="22"/>
          <w:szCs w:val="22"/>
        </w:rPr>
        <w:t>.</w:t>
      </w:r>
    </w:p>
    <w:p w14:paraId="2741F76A" w14:textId="77777777" w:rsidR="00E029DB" w:rsidRPr="00E029DB" w:rsidRDefault="00E029DB" w:rsidP="001C18E0">
      <w:pPr>
        <w:spacing w:line="360" w:lineRule="auto"/>
        <w:jc w:val="both"/>
      </w:pPr>
    </w:p>
    <w:p w14:paraId="55BC5E69" w14:textId="2458403B" w:rsidR="00ED68DE" w:rsidRDefault="00ED68DE" w:rsidP="001C18E0">
      <w:pPr>
        <w:pStyle w:val="Titre3"/>
        <w:spacing w:line="360" w:lineRule="auto"/>
        <w:jc w:val="both"/>
      </w:pPr>
      <w:bookmarkStart w:id="22" w:name="_Toc221704619"/>
      <w:r>
        <w:t>Les facteurs influençant le choix des kinésithérapeutes</w:t>
      </w:r>
      <w:bookmarkEnd w:id="22"/>
    </w:p>
    <w:p w14:paraId="360FEEF4" w14:textId="6EFC4466" w:rsidR="00ED68DE" w:rsidRDefault="000A342F" w:rsidP="001C18E0">
      <w:pPr>
        <w:spacing w:line="360" w:lineRule="auto"/>
        <w:jc w:val="both"/>
      </w:pPr>
      <w:r>
        <w:tab/>
        <w:t>Le choix des tests permettant d’évaluer l’équilibre d’un patient est déterminé par une multitude de facteurs. Ces facteurs relèvent aussi bien du kinésithérapeute mais aussi du contexte de la prise en soin ou des différents outils disponibles.</w:t>
      </w:r>
    </w:p>
    <w:p w14:paraId="1E599E30" w14:textId="7BA1C616" w:rsidR="000A342F" w:rsidRDefault="000A342F" w:rsidP="001C18E0">
      <w:pPr>
        <w:spacing w:line="360" w:lineRule="auto"/>
        <w:jc w:val="both"/>
      </w:pPr>
      <w:r>
        <w:tab/>
        <w:t xml:space="preserve">Les caractéristiques propres au praticien constituent un facteur majeur. La formation initiale suivie par le kinésithérapeute influence ses connaissances et la maîtrise des différentes méthodes existantes </w:t>
      </w:r>
      <w:r>
        <w:fldChar w:fldCharType="begin"/>
      </w:r>
      <w:r w:rsidR="00D27E0A">
        <w:instrText xml:space="preserve"> ADDIN ZOTERO_ITEM CSL_CITATION {"citationID":"vyyN3g6n","properties":{"formattedCitation":"(Sibley et al., 2011a)","plainCitation":"(Sibley et al., 2011a)","noteIndex":0},"citationItems":[{"id":"yBnlN4SL/LMSJSRDo","uris":["http://zotero.org/users/10583480/items/D58IM6BR"],"itemData":{"id":"wOeGTKfT/WCFA7qPy","type":"article-journal","abstract":"Background\nBalance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fldChar w:fldCharType="separate"/>
      </w:r>
      <w:r w:rsidR="00FB2E3C">
        <w:rPr>
          <w:noProof/>
        </w:rPr>
        <w:t>(Sibley et al., 2011a)</w:t>
      </w:r>
      <w:r>
        <w:fldChar w:fldCharType="end"/>
      </w:r>
      <w:r>
        <w:t xml:space="preserve">. La variabilité des formations au sein des IFMK conduit à une hétérogénéité des pratiques professionnelles : certains sont adeptes des tests habituellement reconnus et démocratisés tels que le Time Up and Go (TUG) ou la BERG Balance </w:t>
      </w:r>
      <w:proofErr w:type="spellStart"/>
      <w:r>
        <w:t>Scale</w:t>
      </w:r>
      <w:proofErr w:type="spellEnd"/>
      <w:r>
        <w:t xml:space="preserve"> alors que d’autres seront sensibilisés au </w:t>
      </w:r>
      <w:proofErr w:type="spellStart"/>
      <w:r>
        <w:t>BESTest</w:t>
      </w:r>
      <w:proofErr w:type="spellEnd"/>
      <w:r>
        <w:t xml:space="preserve"> qui évaluent de manière exhaustive les composantes du contrôle postural </w:t>
      </w:r>
      <w:r>
        <w:fldChar w:fldCharType="begin"/>
      </w:r>
      <w:r>
        <w:instrText xml:space="preserve"> ADDIN ZOTERO_ITEM CSL_CITATION {"citationID":"eqmU13Ud","properties":{"formattedCitation":"(Horak et al., 2009)","plainCitation":"(Horak et al., 2009)","noteIndex":0},"citationItems":[{"id":100,"uris":["http://zotero.org/users/10583480/items/DX6V3248"],"itemData":{"id":100,"type":"article-journal","abstract":"Background: Current clinical balance assessment tools do not aim to help therapists identify the underlying postural control systems responsible for poor functional balance. By identifying the disordered systems underlying balance control, therapists can direct specific types of intervention for different types of balance problems., Objective: The goal of this study was to develop a clinical balance assessment tool that aims to target 6 different balance control systems so that specific rehabilitation approaches can be designed for different balance deficits. This article presents the theoretical framework, interrater reliability, and preliminary concurrent validity for this new instrument, the Balance Evaluation Systems Test (BESTest)., Design: The BESTest consists of 36 items, grouped into 6 systems: “Biomechanical Constraints,” “Stability Limits/Verticality,” “Anticipatory Postural Adjustments,” “Postural Responses,” “Sensory Orientation,” and “Stability in Gait.”, Methods: In 2 interrater trials, 22 subjects with and without balance disorders, ranging in age from 50 to 88 years, were rated concurrently on the BESTest by 19 therapists, students, and balance researchers. Concurrent validity was measured by correlation between the BESTest and balance confidence, as assessed with the Activities-specific Balance Confidence (ABC) Scale., Results: Consistent with our theoretical framework, subjects with different diagnoses scored poorly on different sections of the BESTest. The intraclass correlation coefficient (ICC) for interrater reliability for the test as a whole was .91, with the 6 section ICCs ranging from .79 to .96. The Kendall coefficient of concordance among raters ranged from .46 to 1.00 for the 36 individual items. Concurrent validity of the correlation between the BESTest and the ABC Scale was r=.636, P&lt;.01., Limitations: Further testing is needed to determine whether: (1) the sections of the BESTest actually detect independent balance deficits, (2) other systems important for balance control should be added, and (3) a shorter version of the test is possible by eliminating redundant or insensitive items., Conclusions: The BESTest is easy to learn to administer, with excellent reliability and very good validity. It is unique in allowing clinicians to determine the type of balance problems to direct specific treatments for their patients. By organizing clinical balance test items already in use, combined with new items not currently available, the BESTest is the most comprehensive clinical balance tool available and warrants further development.","container-title":"Physical Therapy","DOI":"10.2522/ptj.20080071","ISSN":"0031-9023","issue":"5","journalAbbreviation":"Phys Ther","note":"PMID: 19329772\nPMCID: PMC2676433","page":"484-498","source":"PubMed Central","title":"The Balance Evaluation Systems Test (BESTest) to Differentiate Balance Deficits","volume":"89","author":[{"family":"Horak","given":"Fay B"},{"family":"Wrisley","given":"Diane M"},{"family":"Frank","given":"James"}],"issued":{"date-parts":[["2009",5]]}}}],"schema":"https://github.com/citation-style-language/schema/raw/master/csl-citation.json"} </w:instrText>
      </w:r>
      <w:r>
        <w:fldChar w:fldCharType="separate"/>
      </w:r>
      <w:r>
        <w:rPr>
          <w:noProof/>
        </w:rPr>
        <w:t>(Horak et al., 2009)</w:t>
      </w:r>
      <w:r>
        <w:fldChar w:fldCharType="end"/>
      </w:r>
      <w:r>
        <w:t>.  L</w:t>
      </w:r>
      <w:r w:rsidR="00056B52">
        <w:t>a</w:t>
      </w:r>
      <w:r>
        <w:t xml:space="preserve"> formation continue influence la pratique mais il existe un biais d’engagement personnel et de ressources mis à disposition par le praticien</w:t>
      </w:r>
      <w:r w:rsidR="00F12BCC">
        <w:t xml:space="preserve"> </w:t>
      </w:r>
      <w:r w:rsidR="00F12BCC">
        <w:fldChar w:fldCharType="begin"/>
      </w:r>
      <w:r w:rsidR="00F12BCC">
        <w:instrText xml:space="preserve"> ADDIN ZOTERO_ITEM CSL_CITATION {"citationID":"XkTbie2m","properties":{"formattedCitation":"(Gunn &amp; Goding, 2009)","plainCitation":"(Gunn &amp; Goding, 2009)","noteIndex":0},"citationItems":[{"id":523,"uris":["http://zotero.org/users/10583480/items/H83PQSAX"],"itemData":{"id":523,"type":"article-journal","abstract":"OBJECTIVE: To provide an insight into individual physiotherapists' experiences of Continuing Professional Development (CPD), and to gain an understanding of the challenges of undertaking CPD in a geographically dispersed primary healthcare setting.\nDESIGN: A qualitative phenomenological methodology using a one-to-one semi-structured interview technique to achieve an in-depth exploration of this complex area of study. Data analysis was conducted by data transcription, immersion, coding and generation of themes using a pragmatic five-step process.\nPARTICIPANTS: Eleven participants were identified from a study population of physiotherapists working in two local primary care trusts following the principle of maximum variation sampling.\nRESULTS: Four main themes emerged: CPD processes; motivation for undertaking CPD; enabling CPD; and outcomes of CPD. Participants felt that CPD should include a range of activities and learning behaviours. However, there was a preference for active learning styles and formal course-based learning. Engagement in reflective practice and portfolio keeping was generally poor, with participants identifying lack of skills in these areas. Factors motivating CPD engagement included a strong sense of professional obligation and wishing to provide the best possible service to patients. There was frustration over the impact of external issues including political and organisational change on CPD, and anxiety over forthcoming regulatory changes affecting physiotherapy. The study also identified issues around CPD planning and needs identification. There was evidence of change in individuals' practice and internal perceptions as outcomes of CPD, although issues around the application and maintenance of change were identified.\nCONCLUSIONS: There is evidence that CPD has an effect on clinical practice in this small group of physiotherapists working in community National Health Service settings. Significantly, undertaking CPD improves confidence as well as competence, enabling individuals to form effective therapeutic relationships with patients and other members of their teams.","container-title":"Physiotherapy","DOI":"10.1016/j.physio.2007.09.003","ISSN":"1873-1465","issue":"3","journalAbbreviation":"Physiotherapy","language":"eng","note":"PMID: 19635341","page":"210-215","source":"PubMed","title":"Continuing Professional Development of physiotherapists based in community primary care trusts: a qualitative study investigating perceptions, experiences and outcomes","title-short":"Continuing Professional Development of physiotherapists based in community primary care trusts","volume":"95","author":[{"family":"Gunn","given":"Hilary"},{"family":"Goding","given":"Lois"}],"issued":{"date-parts":[["2009",9]]}}}],"schema":"https://github.com/citation-style-language/schema/raw/master/csl-citation.json"} </w:instrText>
      </w:r>
      <w:r w:rsidR="00F12BCC">
        <w:fldChar w:fldCharType="separate"/>
      </w:r>
      <w:r w:rsidR="00F12BCC">
        <w:rPr>
          <w:noProof/>
        </w:rPr>
        <w:t>(Gunn &amp; Goding, 2009)</w:t>
      </w:r>
      <w:r w:rsidR="00F12BCC">
        <w:fldChar w:fldCharType="end"/>
      </w:r>
      <w:r w:rsidR="00056B52">
        <w:t xml:space="preserve">. L’expérience clinique constitue également un facteur d’influence puisqu’elle amène le clinicien à opter pour les tests qu’il perçoit comme les plus reproductibles ou les plus pertinents dans sa pratique quotidienne au détriment, parfois, de la validité et fiabilité scientifique </w:t>
      </w:r>
      <w:r w:rsidR="00056B52">
        <w:fldChar w:fldCharType="begin"/>
      </w:r>
      <w:r w:rsidR="00056B52">
        <w:instrText xml:space="preserve"> ADDIN ZOTERO_ITEM CSL_CITATION {"citationID":"bTDN0ty3","properties":{"formattedCitation":"(Leddy et al., 2011)","plainCitation":"(Leddy et al., 2011)","noteIndex":0},"citationItems":[{"id":224,"uris":["http://zotero.org/users/10583480/items/8A2EEA9S"],"itemData":{"id":224,"type":"article-journal","abstract":"Background and Purpose\nThe Balance Evaluation Systems Test (BESTest) has been shown to be a reliable and valid measure of balance in individuals with Parkinson disease (PD). A less time-consuming assessment may increase clinical utility. We compared the discriminative fall risk ability of the Mini-BESTest to that of the BESTest, and determined the reliability and normal distribution of scores for each section of the BESTest and the Mini-BESTest in individuals with PD.\n\nMethods\nEighty individuals with idiopathic PD were assessed using the BESTest and Mini-BESTest. A faller was defined as an individual with 2 or more falls in the prior 6-months. Subsets of individuals were used to determine inter-rater (n=15) and test-retest reliability (n=24).\n\nResults\nThe Mini-BESTest, total BESTest score, and all sections of the BESTest, showed a significant difference between the average scores of fallers and non-fallers. For both the Mini-BESTest and BESTest, inter-rater (intraclass correlation ICC≥0.91) and test-retest (ICC≥0.88) reliability was high. The Mini-BESTest and BESTest were highly correlated (r=0.955). Accuracy of identifying a faller was comparable for the Mini-BESTest and BESTest (area under the ROC plots =0.86 and =0.84, respectively).\n\nDiscussion\nNo specific section of the BESTest captured the primary balance deficit for individuals with PD. The post-test probabilities for discriminating fallers versus non-fallers were comparable-to-slightly stronger when using the Mini-BESTest.\n\nConclusion\nAlthough the Mini-BESTest has fewer than half of the items in the BESTest and takes only 15 minutes to complete, it is as reliable as the BESTest and has comparable-to-slightly greater discriminative properties for identifying fallers in individuals with Parkinson Disease.","container-title":"Journal of neurologic physical therapy : JNPT","DOI":"10.1097/NPT.0b013e31821a620c","ISSN":"1557-0576","issue":"2","journalAbbreviation":"J Neurol Phys Ther","note":"PMID: 21934364\nPMCID: PMC3178037","page":"90-97","source":"PubMed Central","title":"Utility of the Mini-BESTest, BESTest, and BESTest Sections for Balance Assessments in Individuals with Parkinson Disease","volume":"35","author":[{"family":"Leddy","given":"Abigail L."},{"family":"Crowner","given":"Beth E."},{"family":"Earhart","given":"Gammon M."}],"issued":{"date-parts":[["2011",6]]}}}],"schema":"https://github.com/citation-style-language/schema/raw/master/csl-citation.json"} </w:instrText>
      </w:r>
      <w:r w:rsidR="00056B52">
        <w:fldChar w:fldCharType="separate"/>
      </w:r>
      <w:r w:rsidR="00056B52">
        <w:rPr>
          <w:noProof/>
        </w:rPr>
        <w:t>(Leddy et al., 2011)</w:t>
      </w:r>
      <w:r w:rsidR="00056B52">
        <w:fldChar w:fldCharType="end"/>
      </w:r>
      <w:r w:rsidR="00056B52">
        <w:t>.</w:t>
      </w:r>
    </w:p>
    <w:p w14:paraId="0F4C20B4" w14:textId="33D8E310" w:rsidR="00A206B8" w:rsidRDefault="00056B52" w:rsidP="001C18E0">
      <w:pPr>
        <w:pStyle w:val="NormalWeb"/>
        <w:spacing w:line="360" w:lineRule="auto"/>
        <w:jc w:val="both"/>
        <w:rPr>
          <w:rFonts w:asciiTheme="minorHAnsi" w:hAnsiTheme="minorHAnsi" w:cstheme="minorHAnsi"/>
          <w:color w:val="000000"/>
          <w:sz w:val="22"/>
          <w:szCs w:val="22"/>
        </w:rPr>
      </w:pPr>
      <w:r>
        <w:tab/>
      </w:r>
      <w:r w:rsidRPr="00056B52">
        <w:rPr>
          <w:rFonts w:asciiTheme="minorHAnsi" w:hAnsiTheme="minorHAnsi" w:cstheme="minorHAnsi"/>
          <w:color w:val="000000"/>
          <w:sz w:val="22"/>
          <w:szCs w:val="22"/>
        </w:rPr>
        <w:t xml:space="preserve">Le second facteur d’importance concerne les caractéristiques du patient. Les personnes âgées présentent une hétérogénéité </w:t>
      </w:r>
      <w:r w:rsidR="00ED44FA">
        <w:rPr>
          <w:rFonts w:asciiTheme="minorHAnsi" w:hAnsiTheme="minorHAnsi" w:cstheme="minorHAnsi"/>
          <w:color w:val="000000"/>
          <w:sz w:val="22"/>
          <w:szCs w:val="22"/>
        </w:rPr>
        <w:t>notamment lorsqu</w:t>
      </w:r>
      <w:r w:rsidR="00BB58F8">
        <w:rPr>
          <w:rFonts w:asciiTheme="minorHAnsi" w:hAnsiTheme="minorHAnsi" w:cstheme="minorHAnsi"/>
          <w:color w:val="000000"/>
          <w:sz w:val="22"/>
          <w:szCs w:val="22"/>
        </w:rPr>
        <w:t xml:space="preserve">e l’on </w:t>
      </w:r>
      <w:r w:rsidR="00ED44FA">
        <w:rPr>
          <w:rFonts w:asciiTheme="minorHAnsi" w:hAnsiTheme="minorHAnsi" w:cstheme="minorHAnsi"/>
          <w:color w:val="000000"/>
          <w:sz w:val="22"/>
          <w:szCs w:val="22"/>
        </w:rPr>
        <w:t>évoque les</w:t>
      </w:r>
      <w:r w:rsidRPr="00056B52">
        <w:rPr>
          <w:rFonts w:asciiTheme="minorHAnsi" w:hAnsiTheme="minorHAnsi" w:cstheme="minorHAnsi"/>
          <w:color w:val="000000"/>
          <w:sz w:val="22"/>
          <w:szCs w:val="22"/>
        </w:rPr>
        <w:t xml:space="preserve"> capacités physiques, cognitives et sensorielle</w:t>
      </w:r>
      <w:r w:rsidR="00ED44FA">
        <w:rPr>
          <w:rFonts w:asciiTheme="minorHAnsi" w:hAnsiTheme="minorHAnsi" w:cstheme="minorHAnsi"/>
          <w:color w:val="000000"/>
          <w:sz w:val="22"/>
          <w:szCs w:val="22"/>
        </w:rPr>
        <w:t>s. Il est nécessaire d’adapt</w:t>
      </w:r>
      <w:r w:rsidR="00BB58F8">
        <w:rPr>
          <w:rFonts w:asciiTheme="minorHAnsi" w:hAnsiTheme="minorHAnsi" w:cstheme="minorHAnsi"/>
          <w:color w:val="000000"/>
          <w:sz w:val="22"/>
          <w:szCs w:val="22"/>
        </w:rPr>
        <w:t>er</w:t>
      </w:r>
      <w:r w:rsidR="00ED44FA">
        <w:rPr>
          <w:rFonts w:asciiTheme="minorHAnsi" w:hAnsiTheme="minorHAnsi" w:cstheme="minorHAnsi"/>
          <w:color w:val="000000"/>
          <w:sz w:val="22"/>
          <w:szCs w:val="22"/>
        </w:rPr>
        <w:t xml:space="preserve"> ces outils en permanence lorsque la prise en soin concerne cette population </w:t>
      </w:r>
      <w:r w:rsidR="00ED44FA">
        <w:rPr>
          <w:rFonts w:asciiTheme="minorHAnsi" w:hAnsiTheme="minorHAnsi" w:cstheme="minorHAnsi"/>
          <w:color w:val="000000"/>
          <w:sz w:val="22"/>
          <w:szCs w:val="22"/>
        </w:rPr>
        <w:fldChar w:fldCharType="begin"/>
      </w:r>
      <w:r w:rsidR="00ED44FA">
        <w:rPr>
          <w:rFonts w:asciiTheme="minorHAnsi" w:hAnsiTheme="minorHAnsi" w:cstheme="minorHAnsi"/>
          <w:color w:val="000000"/>
          <w:sz w:val="22"/>
          <w:szCs w:val="22"/>
        </w:rPr>
        <w:instrText xml:space="preserve"> ADDIN ZOTERO_ITEM CSL_CITATION {"citationID":"vwC175yM","properties":{"formattedCitation":"(Rubenstein, 2006)","plainCitation":"(Rubenstein, 2006)","noteIndex":0},"citationItems":[{"id":121,"uris":["http://zotero.org/users/10583480/items/NLCVPLC4"],"itemData":{"id":121,"type":"article-journal","abstract":"Falls are a common and often devastating problem among older people, causing a tremendous amount of morbidity, mortality and use of health care services including premature nursing home admissions. Most of these falls are associated with one or more identifiable risk factors (e.g. weakness, unsteady gait, confusion and certain medications), and research has shown that attention to these risk factors can significantly reduce rates of falling. Considerable evidence now documents that the most effective (and cost-effective) fall reduction programmes have involved systematic fall risk assessment and targeted interventions, exercise programmes and environmental-inspection and hazard-reduction programmes. These findings have been substantiated by careful meta-analysis of large numbers of controlled clinical trials and by consensus panels of experts who have developed evidence-based practice guidelines for fall prevention and management. Medical assessment of fall risks and provision of appropriate interventions are challenging because of the complex nature of falls. Optimal approaches involve interdisciplinary collaboration in assessment and interventions, particularly exercise, attention to co-existing medical conditions and environmental inspection and hazard abatement.","container-title":"Age and Ageing","DOI":"10.1093/ageing/afl084","ISSN":"1468-2834, 0002-0729","issue":"suppl_2","language":"en","page":"ii37-ii41","source":"DOI.org (Crossref)","title":"Falls in older people: epidemiology, risk factors and strategies for prevention","title-short":"Falls in older people","volume":"35","author":[{"family":"Rubenstein","given":"Laurence Z."}],"issued":{"date-parts":[["2006",9,1]]}}}],"schema":"https://github.com/citation-style-language/schema/raw/master/csl-citation.json"} </w:instrText>
      </w:r>
      <w:r w:rsidR="00ED44FA">
        <w:rPr>
          <w:rFonts w:asciiTheme="minorHAnsi" w:hAnsiTheme="minorHAnsi" w:cstheme="minorHAnsi"/>
          <w:color w:val="000000"/>
          <w:sz w:val="22"/>
          <w:szCs w:val="22"/>
        </w:rPr>
        <w:fldChar w:fldCharType="separate"/>
      </w:r>
      <w:r w:rsidR="00ED44FA">
        <w:rPr>
          <w:rFonts w:asciiTheme="minorHAnsi" w:hAnsiTheme="minorHAnsi" w:cstheme="minorHAnsi"/>
          <w:noProof/>
          <w:color w:val="000000"/>
          <w:sz w:val="22"/>
          <w:szCs w:val="22"/>
        </w:rPr>
        <w:t>(Rubenstein, 2006)</w:t>
      </w:r>
      <w:r w:rsidR="00ED44FA">
        <w:rPr>
          <w:rFonts w:asciiTheme="minorHAnsi" w:hAnsiTheme="minorHAnsi" w:cstheme="minorHAnsi"/>
          <w:color w:val="000000"/>
          <w:sz w:val="22"/>
          <w:szCs w:val="22"/>
        </w:rPr>
        <w:fldChar w:fldCharType="end"/>
      </w:r>
      <w:r w:rsidR="00ED44FA">
        <w:rPr>
          <w:rFonts w:asciiTheme="minorHAnsi" w:hAnsiTheme="minorHAnsi" w:cstheme="minorHAnsi"/>
          <w:color w:val="000000"/>
          <w:sz w:val="22"/>
          <w:szCs w:val="22"/>
        </w:rPr>
        <w:t xml:space="preserve">. </w:t>
      </w:r>
      <w:r w:rsidRPr="00056B52">
        <w:rPr>
          <w:rFonts w:asciiTheme="minorHAnsi" w:hAnsiTheme="minorHAnsi" w:cstheme="minorHAnsi"/>
          <w:color w:val="000000"/>
          <w:sz w:val="22"/>
          <w:szCs w:val="22"/>
        </w:rPr>
        <w:t xml:space="preserve">Chez les sujets fragiles ou présentant des troubles cognitifs, certains tests peuvent être trop exigeants ou inadaptés </w:t>
      </w:r>
      <w:r w:rsidR="00ED44FA">
        <w:rPr>
          <w:rFonts w:asciiTheme="minorHAnsi" w:hAnsiTheme="minorHAnsi" w:cstheme="minorHAnsi"/>
          <w:color w:val="000000"/>
          <w:sz w:val="22"/>
          <w:szCs w:val="22"/>
        </w:rPr>
        <w:fldChar w:fldCharType="begin"/>
      </w:r>
      <w:r w:rsidR="008F74AF">
        <w:rPr>
          <w:rFonts w:asciiTheme="minorHAnsi" w:hAnsiTheme="minorHAnsi" w:cstheme="minorHAnsi"/>
          <w:color w:val="000000"/>
          <w:sz w:val="22"/>
          <w:szCs w:val="22"/>
        </w:rPr>
        <w:instrText xml:space="preserve"> ADDIN ZOTERO_ITEM CSL_CITATION {"citationID":"XpBNBRMW","properties":{"formattedCitation":"(Piasecki et al., 2016b)","plainCitation":"(Piasecki et al., 2016b)","noteIndex":0},"citationItems":[{"id":506,"uris":["http://zotero.org/users/10583480/items/F287YY2L"],"itemData":{"id":506,"type":"article-journal","abstract":"Skeletal muscle size and strength decline in older age.The vastus lateralis, a large thigh muscle, undergoes extensive neuromuscular remodelling in healthy ageing, as characterized by a loss of motor neurons, enlargement of surviving motor units and instability of neuromuscular junction transmission.The loss of motor axons and changes to motor unit potential transmission precede a clinically‐relevant loss of muscle mass and function.","container-title":"The Journal of Physiology","DOI":"10.1113/JP271087","ISSN":"0022-3751","issue":"16","journalAbbreviation":"J Physiol","note":"PMID: 26486316\nPMCID: PMC4983624","page":"4525-4536","source":"PubMed Central","title":"Age‐related neuromuscular changes affecting human vastus lateralis","volume":"594","author":[{"family":"Piasecki","given":"M."},{"family":"Ireland","given":"A."},{"family":"Stashuk","given":"D."},{"family":"Hamilton‐Wright","given":"A."},{"family":"Jones","given":"D. A."},{"family":"McPhee","given":"J. S."}],"issued":{"date-parts":[["2016",8,15]]}}}],"schema":"https://github.com/citation-style-language/schema/raw/master/csl-citation.json"} </w:instrText>
      </w:r>
      <w:r w:rsidR="00ED44FA">
        <w:rPr>
          <w:rFonts w:asciiTheme="minorHAnsi" w:hAnsiTheme="minorHAnsi" w:cstheme="minorHAnsi"/>
          <w:color w:val="000000"/>
          <w:sz w:val="22"/>
          <w:szCs w:val="22"/>
        </w:rPr>
        <w:fldChar w:fldCharType="separate"/>
      </w:r>
      <w:r w:rsidR="008F74AF">
        <w:rPr>
          <w:rFonts w:asciiTheme="minorHAnsi" w:hAnsiTheme="minorHAnsi" w:cstheme="minorHAnsi"/>
          <w:noProof/>
          <w:color w:val="000000"/>
          <w:sz w:val="22"/>
          <w:szCs w:val="22"/>
        </w:rPr>
        <w:t>(Piasecki et al., 2016b)</w:t>
      </w:r>
      <w:r w:rsidR="00ED44FA">
        <w:rPr>
          <w:rFonts w:asciiTheme="minorHAnsi" w:hAnsiTheme="minorHAnsi" w:cstheme="minorHAnsi"/>
          <w:color w:val="000000"/>
          <w:sz w:val="22"/>
          <w:szCs w:val="22"/>
        </w:rPr>
        <w:fldChar w:fldCharType="end"/>
      </w:r>
      <w:r w:rsidRPr="00056B52">
        <w:rPr>
          <w:rFonts w:asciiTheme="minorHAnsi" w:hAnsiTheme="minorHAnsi" w:cstheme="minorHAnsi"/>
          <w:color w:val="000000"/>
          <w:sz w:val="22"/>
          <w:szCs w:val="22"/>
        </w:rPr>
        <w:t xml:space="preserve">. Le praticien doit alors </w:t>
      </w:r>
      <w:r w:rsidRPr="00056B52">
        <w:rPr>
          <w:rFonts w:asciiTheme="minorHAnsi" w:hAnsiTheme="minorHAnsi" w:cstheme="minorHAnsi"/>
          <w:color w:val="000000"/>
          <w:sz w:val="22"/>
          <w:szCs w:val="22"/>
        </w:rPr>
        <w:lastRenderedPageBreak/>
        <w:t xml:space="preserve">trouver un équilibre entre la précision de l’évaluation et la tolérance du patient. Le </w:t>
      </w:r>
      <w:proofErr w:type="spellStart"/>
      <w:r w:rsidRPr="00056B52">
        <w:rPr>
          <w:rFonts w:asciiTheme="minorHAnsi" w:hAnsiTheme="minorHAnsi" w:cstheme="minorHAnsi"/>
          <w:color w:val="000000"/>
          <w:sz w:val="22"/>
          <w:szCs w:val="22"/>
        </w:rPr>
        <w:t>BESTest</w:t>
      </w:r>
      <w:proofErr w:type="spellEnd"/>
      <w:r w:rsidRPr="00056B52">
        <w:rPr>
          <w:rFonts w:asciiTheme="minorHAnsi" w:hAnsiTheme="minorHAnsi" w:cstheme="minorHAnsi"/>
          <w:color w:val="000000"/>
          <w:sz w:val="22"/>
          <w:szCs w:val="22"/>
        </w:rPr>
        <w:t xml:space="preserve">, par exemple, bien qu’il soit </w:t>
      </w:r>
      <w:r w:rsidR="00ED44FA">
        <w:rPr>
          <w:rFonts w:asciiTheme="minorHAnsi" w:hAnsiTheme="minorHAnsi" w:cstheme="minorHAnsi"/>
          <w:color w:val="000000"/>
          <w:sz w:val="22"/>
          <w:szCs w:val="22"/>
        </w:rPr>
        <w:t>exhaustif</w:t>
      </w:r>
      <w:r w:rsidRPr="00056B52">
        <w:rPr>
          <w:rFonts w:asciiTheme="minorHAnsi" w:hAnsiTheme="minorHAnsi" w:cstheme="minorHAnsi"/>
          <w:color w:val="000000"/>
          <w:sz w:val="22"/>
          <w:szCs w:val="22"/>
        </w:rPr>
        <w:t xml:space="preserve">, peut être difficile à réaliser en raison de sa durée importante (35 à 45 minutes) </w:t>
      </w:r>
      <w:r w:rsidR="00ED44FA">
        <w:rPr>
          <w:rFonts w:asciiTheme="minorHAnsi" w:hAnsiTheme="minorHAnsi" w:cstheme="minorHAnsi"/>
          <w:color w:val="000000"/>
          <w:sz w:val="22"/>
          <w:szCs w:val="22"/>
        </w:rPr>
        <w:fldChar w:fldCharType="begin"/>
      </w:r>
      <w:r w:rsidR="00ED44FA">
        <w:rPr>
          <w:rFonts w:asciiTheme="minorHAnsi" w:hAnsiTheme="minorHAnsi" w:cstheme="minorHAnsi"/>
          <w:color w:val="000000"/>
          <w:sz w:val="22"/>
          <w:szCs w:val="22"/>
        </w:rPr>
        <w:instrText xml:space="preserve"> ADDIN ZOTERO_ITEM CSL_CITATION {"citationID":"7fKEFZIM","properties":{"formattedCitation":"(Horak et al., 2009)","plainCitation":"(Horak et al., 2009)","noteIndex":0},"citationItems":[{"id":100,"uris":["http://zotero.org/users/10583480/items/DX6V3248"],"itemData":{"id":100,"type":"article-journal","abstract":"Background: Current clinical balance assessment tools do not aim to help therapists identify the underlying postural control systems responsible for poor functional balance. By identifying the disordered systems underlying balance control, therapists can direct specific types of intervention for different types of balance problems., Objective: The goal of this study was to develop a clinical balance assessment tool that aims to target 6 different balance control systems so that specific rehabilitation approaches can be designed for different balance deficits. This article presents the theoretical framework, interrater reliability, and preliminary concurrent validity for this new instrument, the Balance Evaluation Systems Test (BESTest)., Design: The BESTest consists of 36 items, grouped into 6 systems: “Biomechanical Constraints,” “Stability Limits/Verticality,” “Anticipatory Postural Adjustments,” “Postural Responses,” “Sensory Orientation,” and “Stability in Gait.”, Methods: In 2 interrater trials, 22 subjects with and without balance disorders, ranging in age from 50 to 88 years, were rated concurrently on the BESTest by 19 therapists, students, and balance researchers. Concurrent validity was measured by correlation between the BESTest and balance confidence, as assessed with the Activities-specific Balance Confidence (ABC) Scale., Results: Consistent with our theoretical framework, subjects with different diagnoses scored poorly on different sections of the BESTest. The intraclass correlation coefficient (ICC) for interrater reliability for the test as a whole was .91, with the 6 section ICCs ranging from .79 to .96. The Kendall coefficient of concordance among raters ranged from .46 to 1.00 for the 36 individual items. Concurrent validity of the correlation between the BESTest and the ABC Scale was r=.636, P&lt;.01., Limitations: Further testing is needed to determine whether: (1) the sections of the BESTest actually detect independent balance deficits, (2) other systems important for balance control should be added, and (3) a shorter version of the test is possible by eliminating redundant or insensitive items., Conclusions: The BESTest is easy to learn to administer, with excellent reliability and very good validity. It is unique in allowing clinicians to determine the type of balance problems to direct specific treatments for their patients. By organizing clinical balance test items already in use, combined with new items not currently available, the BESTest is the most comprehensive clinical balance tool available and warrants further development.","container-title":"Physical Therapy","DOI":"10.2522/ptj.20080071","ISSN":"0031-9023","issue":"5","journalAbbreviation":"Phys Ther","note":"PMID: 19329772\nPMCID: PMC2676433","page":"484-498","source":"PubMed Central","title":"The Balance Evaluation Systems Test (BESTest) to Differentiate Balance Deficits","volume":"89","author":[{"family":"Horak","given":"Fay B"},{"family":"Wrisley","given":"Diane M"},{"family":"Frank","given":"James"}],"issued":{"date-parts":[["2009",5]]}}}],"schema":"https://github.com/citation-style-language/schema/raw/master/csl-citation.json"} </w:instrText>
      </w:r>
      <w:r w:rsidR="00ED44FA">
        <w:rPr>
          <w:rFonts w:asciiTheme="minorHAnsi" w:hAnsiTheme="minorHAnsi" w:cstheme="minorHAnsi"/>
          <w:color w:val="000000"/>
          <w:sz w:val="22"/>
          <w:szCs w:val="22"/>
        </w:rPr>
        <w:fldChar w:fldCharType="separate"/>
      </w:r>
      <w:r w:rsidR="00ED44FA">
        <w:rPr>
          <w:rFonts w:asciiTheme="minorHAnsi" w:hAnsiTheme="minorHAnsi" w:cstheme="minorHAnsi"/>
          <w:noProof/>
          <w:color w:val="000000"/>
          <w:sz w:val="22"/>
          <w:szCs w:val="22"/>
        </w:rPr>
        <w:t>(Horak et al., 2009)</w:t>
      </w:r>
      <w:r w:rsidR="00ED44FA">
        <w:rPr>
          <w:rFonts w:asciiTheme="minorHAnsi" w:hAnsiTheme="minorHAnsi" w:cstheme="minorHAnsi"/>
          <w:color w:val="000000"/>
          <w:sz w:val="22"/>
          <w:szCs w:val="22"/>
        </w:rPr>
        <w:fldChar w:fldCharType="end"/>
      </w:r>
      <w:r w:rsidRPr="00056B52">
        <w:rPr>
          <w:rFonts w:asciiTheme="minorHAnsi" w:hAnsiTheme="minorHAnsi" w:cstheme="minorHAnsi"/>
          <w:color w:val="000000"/>
          <w:sz w:val="22"/>
          <w:szCs w:val="22"/>
        </w:rPr>
        <w:t xml:space="preserve">. </w:t>
      </w:r>
      <w:r w:rsidR="00ED44FA">
        <w:rPr>
          <w:rFonts w:asciiTheme="minorHAnsi" w:hAnsiTheme="minorHAnsi" w:cstheme="minorHAnsi"/>
          <w:color w:val="000000"/>
          <w:sz w:val="22"/>
          <w:szCs w:val="22"/>
        </w:rPr>
        <w:t>L</w:t>
      </w:r>
      <w:r w:rsidRPr="00056B52">
        <w:rPr>
          <w:rFonts w:asciiTheme="minorHAnsi" w:hAnsiTheme="minorHAnsi" w:cstheme="minorHAnsi"/>
          <w:color w:val="000000"/>
          <w:sz w:val="22"/>
          <w:szCs w:val="22"/>
        </w:rPr>
        <w:t>e Mini-</w:t>
      </w:r>
      <w:proofErr w:type="spellStart"/>
      <w:r w:rsidRPr="00056B52">
        <w:rPr>
          <w:rFonts w:asciiTheme="minorHAnsi" w:hAnsiTheme="minorHAnsi" w:cstheme="minorHAnsi"/>
          <w:color w:val="000000"/>
          <w:sz w:val="22"/>
          <w:szCs w:val="22"/>
        </w:rPr>
        <w:t>BESTest</w:t>
      </w:r>
      <w:proofErr w:type="spellEnd"/>
      <w:r w:rsidR="00ED44FA">
        <w:rPr>
          <w:rFonts w:asciiTheme="minorHAnsi" w:hAnsiTheme="minorHAnsi" w:cstheme="minorHAnsi"/>
          <w:color w:val="000000"/>
          <w:sz w:val="22"/>
          <w:szCs w:val="22"/>
        </w:rPr>
        <w:t xml:space="preserve"> paraît</w:t>
      </w:r>
      <w:r w:rsidRPr="00056B52">
        <w:rPr>
          <w:rFonts w:asciiTheme="minorHAnsi" w:hAnsiTheme="minorHAnsi" w:cstheme="minorHAnsi"/>
          <w:color w:val="000000"/>
          <w:sz w:val="22"/>
          <w:szCs w:val="22"/>
        </w:rPr>
        <w:t xml:space="preserve"> plus adapté</w:t>
      </w:r>
      <w:r w:rsidR="00BB58F8">
        <w:rPr>
          <w:rFonts w:asciiTheme="minorHAnsi" w:hAnsiTheme="minorHAnsi" w:cstheme="minorHAnsi"/>
          <w:color w:val="000000"/>
          <w:sz w:val="22"/>
          <w:szCs w:val="22"/>
        </w:rPr>
        <w:t xml:space="preserve"> </w:t>
      </w:r>
      <w:r w:rsidRPr="00056B52">
        <w:rPr>
          <w:rFonts w:asciiTheme="minorHAnsi" w:hAnsiTheme="minorHAnsi" w:cstheme="minorHAnsi"/>
          <w:color w:val="000000"/>
          <w:sz w:val="22"/>
          <w:szCs w:val="22"/>
        </w:rPr>
        <w:t>aux contraintes cliniques et au profil de certains patients</w:t>
      </w:r>
      <w:r w:rsidR="00ED44FA">
        <w:rPr>
          <w:rFonts w:asciiTheme="minorHAnsi" w:hAnsiTheme="minorHAnsi" w:cstheme="minorHAnsi"/>
          <w:color w:val="000000"/>
          <w:sz w:val="22"/>
          <w:szCs w:val="22"/>
        </w:rPr>
        <w:t xml:space="preserve"> </w:t>
      </w:r>
      <w:r w:rsidR="00ED44FA">
        <w:rPr>
          <w:rFonts w:asciiTheme="minorHAnsi" w:hAnsiTheme="minorHAnsi" w:cstheme="minorHAnsi"/>
          <w:color w:val="000000"/>
          <w:sz w:val="22"/>
          <w:szCs w:val="22"/>
        </w:rPr>
        <w:fldChar w:fldCharType="begin"/>
      </w:r>
      <w:r w:rsidR="00ED44FA">
        <w:rPr>
          <w:rFonts w:asciiTheme="minorHAnsi" w:hAnsiTheme="minorHAnsi" w:cstheme="minorHAnsi"/>
          <w:color w:val="000000"/>
          <w:sz w:val="22"/>
          <w:szCs w:val="22"/>
        </w:rPr>
        <w:instrText xml:space="preserve"> ADDIN ZOTERO_ITEM CSL_CITATION {"citationID":"2apNjeVn","properties":{"formattedCitation":"(Franchignoni et al., 2010)","plainCitation":"(Franchignoni et al., 2010)","noteIndex":0},"citationItems":[{"id":213,"uris":["http://zotero.org/users/10583480/items/TRWHVHJQ"],"itemData":{"id":213,"type":"article-journal","abstract":"Objective\nTo improve, with the aid of psychometric analysis, the Balance Evaluation System’s Test (BESTest), a tool designed to analyse several postural control systems that may contribute to poor functional balance in adults.\n\nMethods\nWe examined performance of the BESTest in a convenience sample of 115 consecutive adult patients with diverse neurological diagnoses and disease severity, referred to rehabilitation for balance disorders. Factor (both explorative and confirmatory) and Rasch analysis were used to process the data in order to produce a new, reduced and coherent balance measurement tool.\n\nResults\nFactor analysis selected 24 out of the 36 original BESTest items likely to represent the unidimensional construct of ‘dynamic balance’. Rasch analysis was then used to: 1) improve the rating categories, and 2) delete 10 items (misfitting or showing local dependency). The model consisting of the remaining 14 tasks was verified with confirmatory factor analysis to meet the stringent requirements of modern measurement.\n\nConclusion\nThe new 14-item scale (dubbed mini-BESTest) focuses on dynamic balance, can be conducted in 10-15 minutes, and contains items belonging evenly to four of the six sections from the original BESTest. Further studies are needed to confirm the usefulness of the mini-BESTest in clinical settings.","container-title":"Journal of rehabilitation medicine : official journal of the UEMS European Board of Physical and Rehabilitation Medicine","DOI":"10.2340/16501977-0537","ISSN":"1650-1977","issue":"4","journalAbbreviation":"J Rehabil Med","note":"PMID: 20461334\nPMCID: PMC3228839","page":"323-331","source":"PubMed Central","title":"Using psychometric techniques to improve the Balance Evaluation System’s Test: the mini-BESTest","title-short":"Using psychometric techniques to improve the Balance Evaluation System’s Test","volume":"42","author":[{"family":"Franchignoni","given":"Franco"},{"family":"Horak","given":"Fay"},{"family":"Godi","given":"Marco"},{"family":"Nardone","given":"Antonio"},{"family":"Giordano","given":"Andrea"}],"issued":{"date-parts":[["2010",4]]}}}],"schema":"https://github.com/citation-style-language/schema/raw/master/csl-citation.json"} </w:instrText>
      </w:r>
      <w:r w:rsidR="00ED44FA">
        <w:rPr>
          <w:rFonts w:asciiTheme="minorHAnsi" w:hAnsiTheme="minorHAnsi" w:cstheme="minorHAnsi"/>
          <w:color w:val="000000"/>
          <w:sz w:val="22"/>
          <w:szCs w:val="22"/>
        </w:rPr>
        <w:fldChar w:fldCharType="separate"/>
      </w:r>
      <w:r w:rsidR="00ED44FA">
        <w:rPr>
          <w:rFonts w:asciiTheme="minorHAnsi" w:hAnsiTheme="minorHAnsi" w:cstheme="minorHAnsi"/>
          <w:noProof/>
          <w:color w:val="000000"/>
          <w:sz w:val="22"/>
          <w:szCs w:val="22"/>
        </w:rPr>
        <w:t>(Franchignoni et al., 2010)</w:t>
      </w:r>
      <w:r w:rsidR="00ED44FA">
        <w:rPr>
          <w:rFonts w:asciiTheme="minorHAnsi" w:hAnsiTheme="minorHAnsi" w:cstheme="minorHAnsi"/>
          <w:color w:val="000000"/>
          <w:sz w:val="22"/>
          <w:szCs w:val="22"/>
        </w:rPr>
        <w:fldChar w:fldCharType="end"/>
      </w:r>
      <w:r w:rsidRPr="00056B52">
        <w:rPr>
          <w:rFonts w:asciiTheme="minorHAnsi" w:hAnsiTheme="minorHAnsi" w:cstheme="minorHAnsi"/>
          <w:color w:val="000000"/>
          <w:sz w:val="22"/>
          <w:szCs w:val="22"/>
        </w:rPr>
        <w:t xml:space="preserve">. Le choix de l’outil dépend </w:t>
      </w:r>
      <w:r w:rsidR="00BB58F8">
        <w:rPr>
          <w:rFonts w:asciiTheme="minorHAnsi" w:hAnsiTheme="minorHAnsi" w:cstheme="minorHAnsi"/>
          <w:color w:val="000000"/>
          <w:sz w:val="22"/>
          <w:szCs w:val="22"/>
        </w:rPr>
        <w:t xml:space="preserve">donc </w:t>
      </w:r>
      <w:r w:rsidRPr="00056B52">
        <w:rPr>
          <w:rFonts w:asciiTheme="minorHAnsi" w:hAnsiTheme="minorHAnsi" w:cstheme="minorHAnsi"/>
          <w:color w:val="000000"/>
          <w:sz w:val="22"/>
          <w:szCs w:val="22"/>
        </w:rPr>
        <w:t xml:space="preserve">directement </w:t>
      </w:r>
      <w:r w:rsidR="00ED44FA">
        <w:rPr>
          <w:rFonts w:asciiTheme="minorHAnsi" w:hAnsiTheme="minorHAnsi" w:cstheme="minorHAnsi"/>
          <w:color w:val="000000"/>
          <w:sz w:val="22"/>
          <w:szCs w:val="22"/>
        </w:rPr>
        <w:t xml:space="preserve">du profil de </w:t>
      </w:r>
      <w:r w:rsidRPr="00056B52">
        <w:rPr>
          <w:rFonts w:asciiTheme="minorHAnsi" w:hAnsiTheme="minorHAnsi" w:cstheme="minorHAnsi"/>
          <w:color w:val="000000"/>
          <w:sz w:val="22"/>
          <w:szCs w:val="22"/>
        </w:rPr>
        <w:t>patient, de son niveau de fatigabilité, de sa coopération</w:t>
      </w:r>
      <w:r w:rsidR="00ED44FA">
        <w:rPr>
          <w:rFonts w:asciiTheme="minorHAnsi" w:hAnsiTheme="minorHAnsi" w:cstheme="minorHAnsi"/>
          <w:color w:val="000000"/>
          <w:sz w:val="22"/>
          <w:szCs w:val="22"/>
        </w:rPr>
        <w:t>,</w:t>
      </w:r>
      <w:r w:rsidRPr="00056B52">
        <w:rPr>
          <w:rFonts w:asciiTheme="minorHAnsi" w:hAnsiTheme="minorHAnsi" w:cstheme="minorHAnsi"/>
          <w:color w:val="000000"/>
          <w:sz w:val="22"/>
          <w:szCs w:val="22"/>
        </w:rPr>
        <w:t xml:space="preserve"> de ses capacités cognitives </w:t>
      </w:r>
      <w:r w:rsidR="00ED44FA">
        <w:rPr>
          <w:rFonts w:asciiTheme="minorHAnsi" w:hAnsiTheme="minorHAnsi" w:cstheme="minorHAnsi"/>
          <w:color w:val="000000"/>
          <w:sz w:val="22"/>
          <w:szCs w:val="22"/>
        </w:rPr>
        <w:t xml:space="preserve">et de son projet thérapeutique </w:t>
      </w:r>
      <w:r w:rsidR="00ED44FA">
        <w:rPr>
          <w:rFonts w:asciiTheme="minorHAnsi" w:hAnsiTheme="minorHAnsi" w:cstheme="minorHAnsi"/>
          <w:color w:val="000000"/>
          <w:sz w:val="22"/>
          <w:szCs w:val="22"/>
        </w:rPr>
        <w:fldChar w:fldCharType="begin"/>
      </w:r>
      <w:r w:rsidR="00ED44FA">
        <w:rPr>
          <w:rFonts w:asciiTheme="minorHAnsi" w:hAnsiTheme="minorHAnsi" w:cstheme="minorHAnsi"/>
          <w:color w:val="000000"/>
          <w:sz w:val="22"/>
          <w:szCs w:val="22"/>
        </w:rPr>
        <w:instrText xml:space="preserve"> ADDIN ZOTERO_ITEM CSL_CITATION {"citationID":"YGOEswCQ","properties":{"formattedCitation":"(Cruz-Jentoft et al., 2019)","plainCitation":"(Cruz-Jentoft et al., 2019)","noteIndex":0},"citationItems":[{"id":503,"uris":["http://zotero.org/users/10583480/items/QJEJXHVF"],"itemData":{"id":503,"type":"article-journal","abstract":"BACKGROUND: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findings.\nOBJECTIVES: to increase consistency of research design, clinical diagnoses and ultimately, care for people with sarcopenia.\nRECOMMENDATIONS: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sarcopenia.\nCONCLUSIONS: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systems.","container-title":"Age and Ageing","DOI":"10.1093/ageing/afy169","ISSN":"1468-2834","issue":"1","journalAbbreviation":"Age Ageing","language":"eng","note":"PMID: 30312372\nPMCID: PMC6322506","page":"16-31","source":"PubMed","title":"Sarcopenia: revised European consensus on definition and diagnosis","title-short":"Sarcopenia","volume":"48","author":[{"family":"Cruz-Jentoft","given":"Alfonso J."},{"family":"Bahat","given":"Gülistan"},{"family":"Bauer","given":"Jürgen"},{"family":"Boirie","given":"Yves"},{"family":"Bruyère","given":"Olivier"},{"family":"Cederholm","given":"Tommy"},{"family":"Cooper","given":"Cyrus"},{"family":"Landi","given":"Francesco"},{"family":"Rolland","given":"Yves"},{"family":"Sayer","given":"Avan Aihie"},{"family":"Schneider","given":"Stéphane M."},{"family":"Sieber","given":"Cornel C."},{"family":"Topinkova","given":"Eva"},{"family":"Vandewoude","given":"Maurits"},{"family":"Visser","given":"Marjolein"},{"family":"Zamboni","given":"Mauro"},{"literal":"Writing Group for the European Working Group on Sarcopenia in Older People 2 (EWGSOP2), and the Extended Group for EWGSOP2"}],"issued":{"date-parts":[["2019",1,1]]}}}],"schema":"https://github.com/citation-style-language/schema/raw/master/csl-citation.json"} </w:instrText>
      </w:r>
      <w:r w:rsidR="00ED44FA">
        <w:rPr>
          <w:rFonts w:asciiTheme="minorHAnsi" w:hAnsiTheme="minorHAnsi" w:cstheme="minorHAnsi"/>
          <w:color w:val="000000"/>
          <w:sz w:val="22"/>
          <w:szCs w:val="22"/>
        </w:rPr>
        <w:fldChar w:fldCharType="separate"/>
      </w:r>
      <w:r w:rsidR="00ED44FA">
        <w:rPr>
          <w:rFonts w:asciiTheme="minorHAnsi" w:hAnsiTheme="minorHAnsi" w:cstheme="minorHAnsi"/>
          <w:noProof/>
          <w:color w:val="000000"/>
          <w:sz w:val="22"/>
          <w:szCs w:val="22"/>
        </w:rPr>
        <w:t>(Cruz-Jentoft et al., 2019)</w:t>
      </w:r>
      <w:r w:rsidR="00ED44FA">
        <w:rPr>
          <w:rFonts w:asciiTheme="minorHAnsi" w:hAnsiTheme="minorHAnsi" w:cstheme="minorHAnsi"/>
          <w:color w:val="000000"/>
          <w:sz w:val="22"/>
          <w:szCs w:val="22"/>
        </w:rPr>
        <w:fldChar w:fldCharType="end"/>
      </w:r>
      <w:r w:rsidR="00A206B8">
        <w:rPr>
          <w:rFonts w:asciiTheme="minorHAnsi" w:hAnsiTheme="minorHAnsi" w:cstheme="minorHAnsi"/>
          <w:color w:val="000000"/>
          <w:sz w:val="22"/>
          <w:szCs w:val="22"/>
        </w:rPr>
        <w:t xml:space="preserve">. </w:t>
      </w:r>
    </w:p>
    <w:p w14:paraId="27ED76BF" w14:textId="169F36E7" w:rsidR="003170C9" w:rsidRDefault="00A206B8" w:rsidP="003170C9">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r>
      <w:r w:rsidR="00056B52" w:rsidRPr="00056B52">
        <w:rPr>
          <w:rFonts w:asciiTheme="minorHAnsi" w:hAnsiTheme="minorHAnsi" w:cstheme="minorHAnsi"/>
          <w:color w:val="000000"/>
          <w:sz w:val="22"/>
          <w:szCs w:val="22"/>
        </w:rPr>
        <w:t xml:space="preserve">Le contexte d’exercice du kinésithérapeute influence également le choix des tests utilisés. En pratique libérale, les contraintes de temps, la charge de travail et le manque d’équipement spécialisé incitent souvent les praticiens à privilégier des tests rapides, simples à administrer et nécessitant peu de matériel </w:t>
      </w:r>
      <w:r>
        <w:rPr>
          <w:rFonts w:asciiTheme="minorHAnsi" w:hAnsiTheme="minorHAnsi" w:cstheme="minorHAnsi"/>
          <w:color w:val="000000"/>
          <w:sz w:val="22"/>
          <w:szCs w:val="22"/>
        </w:rPr>
        <w:fldChar w:fldCharType="begin"/>
      </w:r>
      <w:r>
        <w:rPr>
          <w:rFonts w:asciiTheme="minorHAnsi" w:hAnsiTheme="minorHAnsi" w:cstheme="minorHAnsi"/>
          <w:color w:val="000000"/>
          <w:sz w:val="22"/>
          <w:szCs w:val="22"/>
        </w:rPr>
        <w:instrText xml:space="preserve"> ADDIN ZOTERO_ITEM CSL_CITATION {"citationID":"oIpWkLaH","properties":{"formattedCitation":"(Verg\\uc0\\u233{} et al., 2024b)","plainCitation":"(Vergé et al., 2024b)","dontUpdate":true,"noteIndex":0},"citationItems":[{"id":356,"uris":["http://zotero.org/users/10583480/items/ZSA9QANU"],"itemData":{"id":356,"type":"article-journal","container-title":"Santé Publique","DOI":"10.3917/spub.hs1.2024.0100","ISSN":"0995-3914","issue":"HS1","language":"fr","note":"number: HS1\npublisher: S.F.S.P.","page":"100-100","source":"stm.cairn.info","title":"Plan Antichute des personnes âgées : diagnostic territorial des actions existantes en lien avec la prévention des chutes et/ou du parcours chuteur en région Auvergne Rhône-Alpes","title-short":"Plan Antichute des personnes âgées","volume":"36","author":[{"family":"Vergé","given":"Charlotte"},{"family":"Dorier","given":"Solène"},{"family":"Addario","given":"Alexandra"},{"family":"Gavazzi","given":"Gaétan"},{"family":"Barth","given":"Nathalie"}],"issued":{"date-parts":[["2024",9,26]]}}}],"schema":"https://github.com/citation-style-language/schema/raw/master/csl-citation.json"} </w:instrText>
      </w:r>
      <w:r>
        <w:rPr>
          <w:rFonts w:asciiTheme="minorHAnsi" w:hAnsiTheme="minorHAnsi" w:cstheme="minorHAnsi"/>
          <w:color w:val="000000"/>
          <w:sz w:val="22"/>
          <w:szCs w:val="22"/>
        </w:rPr>
        <w:fldChar w:fldCharType="separate"/>
      </w:r>
      <w:r w:rsidRPr="00A206B8">
        <w:rPr>
          <w:rFonts w:ascii="Calibri" w:hAnsiTheme="minorHAnsi" w:cs="Calibri"/>
          <w:color w:val="000000"/>
          <w:sz w:val="22"/>
        </w:rPr>
        <w:t>(Vergé et al., 2024)</w:t>
      </w:r>
      <w:r>
        <w:rPr>
          <w:rFonts w:asciiTheme="minorHAnsi" w:hAnsiTheme="minorHAnsi" w:cstheme="minorHAnsi"/>
          <w:color w:val="000000"/>
          <w:sz w:val="22"/>
          <w:szCs w:val="22"/>
        </w:rPr>
        <w:fldChar w:fldCharType="end"/>
      </w:r>
      <w:r>
        <w:rPr>
          <w:rFonts w:asciiTheme="minorHAnsi" w:hAnsiTheme="minorHAnsi" w:cstheme="minorHAnsi"/>
          <w:color w:val="000000"/>
          <w:sz w:val="22"/>
          <w:szCs w:val="22"/>
        </w:rPr>
        <w:t>. M</w:t>
      </w:r>
      <w:r w:rsidRPr="00056B52">
        <w:rPr>
          <w:rFonts w:asciiTheme="minorHAnsi" w:hAnsiTheme="minorHAnsi" w:cstheme="minorHAnsi"/>
          <w:color w:val="000000"/>
          <w:sz w:val="22"/>
          <w:szCs w:val="22"/>
        </w:rPr>
        <w:t xml:space="preserve">algré leurs limites </w:t>
      </w:r>
      <w:r>
        <w:rPr>
          <w:rFonts w:asciiTheme="minorHAnsi" w:hAnsiTheme="minorHAnsi" w:cstheme="minorHAnsi"/>
          <w:color w:val="000000"/>
          <w:sz w:val="22"/>
          <w:szCs w:val="22"/>
        </w:rPr>
        <w:t>concernant l’évaluation</w:t>
      </w:r>
      <w:r w:rsidRPr="00056B52">
        <w:rPr>
          <w:rFonts w:asciiTheme="minorHAnsi" w:hAnsiTheme="minorHAnsi" w:cstheme="minorHAnsi"/>
          <w:color w:val="000000"/>
          <w:sz w:val="22"/>
          <w:szCs w:val="22"/>
        </w:rPr>
        <w:t xml:space="preserve"> des sous-composantes de l’équilibre</w:t>
      </w:r>
      <w:r>
        <w:rPr>
          <w:rFonts w:asciiTheme="minorHAnsi" w:hAnsiTheme="minorHAnsi" w:cstheme="minorHAnsi"/>
          <w:color w:val="000000"/>
          <w:sz w:val="22"/>
          <w:szCs w:val="22"/>
        </w:rPr>
        <w:t>,</w:t>
      </w:r>
      <w:r w:rsidRPr="00056B52">
        <w:rPr>
          <w:rFonts w:asciiTheme="minorHAnsi" w:hAnsiTheme="minorHAnsi" w:cstheme="minorHAnsi"/>
          <w:color w:val="000000"/>
          <w:sz w:val="22"/>
          <w:szCs w:val="22"/>
        </w:rPr>
        <w:t xml:space="preserve"> </w:t>
      </w:r>
      <w:r>
        <w:rPr>
          <w:rFonts w:asciiTheme="minorHAnsi" w:hAnsiTheme="minorHAnsi" w:cstheme="minorHAnsi"/>
          <w:color w:val="000000"/>
          <w:sz w:val="22"/>
          <w:szCs w:val="22"/>
        </w:rPr>
        <w:t>l</w:t>
      </w:r>
      <w:r w:rsidR="00056B52" w:rsidRPr="00056B52">
        <w:rPr>
          <w:rFonts w:asciiTheme="minorHAnsi" w:hAnsiTheme="minorHAnsi" w:cstheme="minorHAnsi"/>
          <w:color w:val="000000"/>
          <w:sz w:val="22"/>
          <w:szCs w:val="22"/>
        </w:rPr>
        <w:t xml:space="preserve">e </w:t>
      </w:r>
      <w:proofErr w:type="spellStart"/>
      <w:r w:rsidR="00056B52" w:rsidRPr="00056B52">
        <w:rPr>
          <w:rFonts w:asciiTheme="minorHAnsi" w:hAnsiTheme="minorHAnsi" w:cstheme="minorHAnsi"/>
          <w:color w:val="000000"/>
          <w:sz w:val="22"/>
          <w:szCs w:val="22"/>
        </w:rPr>
        <w:t>Timed</w:t>
      </w:r>
      <w:proofErr w:type="spellEnd"/>
      <w:r w:rsidR="00056B52" w:rsidRPr="00056B52">
        <w:rPr>
          <w:rFonts w:asciiTheme="minorHAnsi" w:hAnsiTheme="minorHAnsi" w:cstheme="minorHAnsi"/>
          <w:color w:val="000000"/>
          <w:sz w:val="22"/>
          <w:szCs w:val="22"/>
        </w:rPr>
        <w:t xml:space="preserve"> Up and Go ou le test de Tinetti </w:t>
      </w:r>
      <w:r>
        <w:rPr>
          <w:rFonts w:asciiTheme="minorHAnsi" w:hAnsiTheme="minorHAnsi" w:cstheme="minorHAnsi"/>
          <w:color w:val="000000"/>
          <w:sz w:val="22"/>
          <w:szCs w:val="22"/>
        </w:rPr>
        <w:t>suivent</w:t>
      </w:r>
      <w:r w:rsidR="00056B52" w:rsidRPr="00056B52">
        <w:rPr>
          <w:rFonts w:asciiTheme="minorHAnsi" w:hAnsiTheme="minorHAnsi" w:cstheme="minorHAnsi"/>
          <w:color w:val="000000"/>
          <w:sz w:val="22"/>
          <w:szCs w:val="22"/>
        </w:rPr>
        <w:t xml:space="preserve"> ces critères et restent parmi les plus utilisés</w:t>
      </w: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fldChar w:fldCharType="begin"/>
      </w:r>
      <w:r w:rsidR="00D27E0A">
        <w:rPr>
          <w:rFonts w:asciiTheme="minorHAnsi" w:hAnsiTheme="minorHAnsi" w:cstheme="minorHAnsi"/>
          <w:color w:val="000000"/>
          <w:sz w:val="22"/>
          <w:szCs w:val="22"/>
        </w:rPr>
        <w:instrText xml:space="preserve"> ADDIN ZOTERO_ITEM CSL_CITATION {"citationID":"Z6O2rHwx","properties":{"formattedCitation":"(Sibley et al., 2011a)","plainCitation":"(Sibley et al., 2011a)","noteIndex":0},"citationItems":[{"id":"yBnlN4SL/LMSJSRDo","uris":["http://zotero.org/users/10583480/items/D58IM6BR"],"itemData":{"id":"wKHZyPwc/7iCFe3b5","type":"article-journal","abstract":"Background\nBalance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Pr>
          <w:rFonts w:asciiTheme="minorHAnsi" w:hAnsiTheme="minorHAnsi" w:cstheme="minorHAnsi"/>
          <w:color w:val="000000"/>
          <w:sz w:val="22"/>
          <w:szCs w:val="22"/>
        </w:rPr>
        <w:fldChar w:fldCharType="separate"/>
      </w:r>
      <w:r w:rsidR="00FB2E3C">
        <w:rPr>
          <w:rFonts w:asciiTheme="minorHAnsi" w:hAnsiTheme="minorHAnsi" w:cstheme="minorHAnsi"/>
          <w:noProof/>
          <w:color w:val="000000"/>
          <w:sz w:val="22"/>
          <w:szCs w:val="22"/>
        </w:rPr>
        <w:t>(Sibley et al., 2011a)</w:t>
      </w:r>
      <w:r>
        <w:rPr>
          <w:rFonts w:asciiTheme="minorHAnsi" w:hAnsiTheme="minorHAnsi" w:cstheme="minorHAnsi"/>
          <w:color w:val="000000"/>
          <w:sz w:val="22"/>
          <w:szCs w:val="22"/>
        </w:rPr>
        <w:fldChar w:fldCharType="end"/>
      </w:r>
      <w:r>
        <w:rPr>
          <w:rFonts w:asciiTheme="minorHAnsi" w:hAnsiTheme="minorHAnsi" w:cstheme="minorHAnsi"/>
          <w:color w:val="000000"/>
          <w:sz w:val="22"/>
          <w:szCs w:val="22"/>
        </w:rPr>
        <w:t>.</w:t>
      </w:r>
      <w:r w:rsidR="00056B52" w:rsidRPr="00056B52">
        <w:rPr>
          <w:rFonts w:asciiTheme="minorHAnsi" w:hAnsiTheme="minorHAnsi" w:cstheme="minorHAnsi"/>
          <w:color w:val="000000"/>
          <w:sz w:val="22"/>
          <w:szCs w:val="22"/>
        </w:rPr>
        <w:t xml:space="preserve"> En revanche, dans les structures de rééducation, la disponibilité de plateaux techniques, la possibilité de travail pluridisciplinaire et l’accès à davantage de ressources matérielles et humaines favorisent l’utilisation de tests plus longs et plus complets, tels que le </w:t>
      </w:r>
      <w:proofErr w:type="spellStart"/>
      <w:r w:rsidR="00056B52" w:rsidRPr="00056B52">
        <w:rPr>
          <w:rFonts w:asciiTheme="minorHAnsi" w:hAnsiTheme="minorHAnsi" w:cstheme="minorHAnsi"/>
          <w:color w:val="000000"/>
          <w:sz w:val="22"/>
          <w:szCs w:val="22"/>
        </w:rPr>
        <w:t>BESTest</w:t>
      </w:r>
      <w:proofErr w:type="spellEnd"/>
      <w:r w:rsidR="00056B52" w:rsidRPr="00056B52">
        <w:rPr>
          <w:rFonts w:asciiTheme="minorHAnsi" w:hAnsiTheme="minorHAnsi" w:cstheme="minorHAnsi"/>
          <w:color w:val="000000"/>
          <w:sz w:val="22"/>
          <w:szCs w:val="22"/>
        </w:rPr>
        <w:t xml:space="preserve"> </w:t>
      </w:r>
      <w:r>
        <w:rPr>
          <w:rFonts w:asciiTheme="minorHAnsi" w:hAnsiTheme="minorHAnsi" w:cstheme="minorHAnsi"/>
          <w:color w:val="000000"/>
          <w:sz w:val="22"/>
          <w:szCs w:val="22"/>
        </w:rPr>
        <w:fldChar w:fldCharType="begin"/>
      </w:r>
      <w:r>
        <w:rPr>
          <w:rFonts w:asciiTheme="minorHAnsi" w:hAnsiTheme="minorHAnsi" w:cstheme="minorHAnsi"/>
          <w:color w:val="000000"/>
          <w:sz w:val="22"/>
          <w:szCs w:val="22"/>
        </w:rPr>
        <w:instrText xml:space="preserve"> ADDIN ZOTERO_ITEM CSL_CITATION {"citationID":"p2qHnl3D","properties":{"formattedCitation":"(Horak et al., 2009; Leddy et al., 2011)","plainCitation":"(Horak et al., 2009; Leddy et al., 2011)","noteIndex":0},"citationItems":[{"id":100,"uris":["http://zotero.org/users/10583480/items/DX6V3248"],"itemData":{"id":100,"type":"article-journal","abstract":"Background: Current clinical balance assessment tools do not aim to help therapists identify the underlying postural control systems responsible for poor functional balance. By identifying the disordered systems underlying balance control, therapists can direct specific types of intervention for different types of balance problems., Objective: The goal of this study was to develop a clinical balance assessment tool that aims to target 6 different balance control systems so that specific rehabilitation approaches can be designed for different balance deficits. This article presents the theoretical framework, interrater reliability, and preliminary concurrent validity for this new instrument, the Balance Evaluation Systems Test (BESTest)., Design: The BESTest consists of 36 items, grouped into 6 systems: “Biomechanical Constraints,” “Stability Limits/Verticality,” “Anticipatory Postural Adjustments,” “Postural Responses,” “Sensory Orientation,” and “Stability in Gait.”, Methods: In 2 interrater trials, 22 subjects with and without balance disorders, ranging in age from 50 to 88 years, were rated concurrently on the BESTest by 19 therapists, students, and balance researchers. Concurrent validity was measured by correlation between the BESTest and balance confidence, as assessed with the Activities-specific Balance Confidence (ABC) Scale., Results: Consistent with our theoretical framework, subjects with different diagnoses scored poorly on different sections of the BESTest. The intraclass correlation coefficient (ICC) for interrater reliability for the test as a whole was .91, with the 6 section ICCs ranging from .79 to .96. The Kendall coefficient of concordance among raters ranged from .46 to 1.00 for the 36 individual items. Concurrent validity of the correlation between the BESTest and the ABC Scale was r=.636, P&lt;.01., Limitations: Further testing is needed to determine whether: (1) the sections of the BESTest actually detect independent balance deficits, (2) other systems important for balance control should be added, and (3) a shorter version of the test is possible by eliminating redundant or insensitive items., Conclusions: The BESTest is easy to learn to administer, with excellent reliability and very good validity. It is unique in allowing clinicians to determine the type of balance problems to direct specific treatments for their patients. By organizing clinical balance test items already in use, combined with new items not currently available, the BESTest is the most comprehensive clinical balance tool available and warrants further development.","container-title":"Physical Therapy","DOI":"10.2522/ptj.20080071","ISSN":"0031-9023","issue":"5","journalAbbreviation":"Phys Ther","note":"PMID: 19329772\nPMCID: PMC2676433","page":"484-498","source":"PubMed Central","title":"The Balance Evaluation Systems Test (BESTest) to Differentiate Balance Deficits","volume":"89","author":[{"family":"Horak","given":"Fay B"},{"family":"Wrisley","given":"Diane M"},{"family":"Frank","given":"James"}],"issued":{"date-parts":[["2009",5]]}}},{"id":224,"uris":["http://zotero.org/users/10583480/items/8A2EEA9S"],"itemData":{"id":224,"type":"article-journal","abstract":"Background and Purpose\nThe Balance Evaluation Systems Test (BESTest) has been shown to be a reliable and valid measure of balance in individuals with Parkinson disease (PD). A less time-consuming assessment may increase clinical utility. We compared the discriminative fall risk ability of the Mini-BESTest to that of the BESTest, and determined the reliability and normal distribution of scores for each section of the BESTest and the Mini-BESTest in individuals with PD.\n\nMethods\nEighty individuals with idiopathic PD were assessed using the BESTest and Mini-BESTest. A faller was defined as an individual with 2 or more falls in the prior 6-months. Subsets of individuals were used to determine inter-rater (n=15) and test-retest reliability (n=24).\n\nResults\nThe Mini-BESTest, total BESTest score, and all sections of the BESTest, showed a significant difference between the average scores of fallers and non-fallers. For both the Mini-BESTest and BESTest, inter-rater (intraclass correlation ICC≥0.91) and test-retest (ICC≥0.88) reliability was high. The Mini-BESTest and BESTest were highly correlated (r=0.955). Accuracy of identifying a faller was comparable for the Mini-BESTest and BESTest (area under the ROC plots =0.86 and =0.84, respectively).\n\nDiscussion\nNo specific section of the BESTest captured the primary balance deficit for individuals with PD. The post-test probabilities for discriminating fallers versus non-fallers were comparable-to-slightly stronger when using the Mini-BESTest.\n\nConclusion\nAlthough the Mini-BESTest has fewer than half of the items in the BESTest and takes only 15 minutes to complete, it is as reliable as the BESTest and has comparable-to-slightly greater discriminative properties for identifying fallers in individuals with Parkinson Disease.","container-title":"Journal of neurologic physical therapy : JNPT","DOI":"10.1097/NPT.0b013e31821a620c","ISSN":"1557-0576","issue":"2","journalAbbreviation":"J Neurol Phys Ther","note":"PMID: 21934364\nPMCID: PMC3178037","page":"90-97","source":"PubMed Central","title":"Utility of the Mini-BESTest, BESTest, and BESTest Sections for Balance Assessments in Individuals with Parkinson Disease","volume":"35","author":[{"family":"Leddy","given":"Abigail L."},{"family":"Crowner","given":"Beth E."},{"family":"Earhart","given":"Gammon M."}],"issued":{"date-parts":[["2011",6]]}}}],"schema":"https://github.com/citation-style-language/schema/raw/master/csl-citation.json"} </w:instrText>
      </w:r>
      <w:r>
        <w:rPr>
          <w:rFonts w:asciiTheme="minorHAnsi" w:hAnsiTheme="minorHAnsi" w:cstheme="minorHAnsi"/>
          <w:color w:val="000000"/>
          <w:sz w:val="22"/>
          <w:szCs w:val="22"/>
        </w:rPr>
        <w:fldChar w:fldCharType="separate"/>
      </w:r>
      <w:r>
        <w:rPr>
          <w:rFonts w:asciiTheme="minorHAnsi" w:hAnsiTheme="minorHAnsi" w:cstheme="minorHAnsi"/>
          <w:noProof/>
          <w:color w:val="000000"/>
          <w:sz w:val="22"/>
          <w:szCs w:val="22"/>
        </w:rPr>
        <w:t>(Horak et al., 2009; Leddy et al., 2011)</w:t>
      </w:r>
      <w:r>
        <w:rPr>
          <w:rFonts w:asciiTheme="minorHAnsi" w:hAnsiTheme="minorHAnsi" w:cstheme="minorHAnsi"/>
          <w:color w:val="000000"/>
          <w:sz w:val="22"/>
          <w:szCs w:val="22"/>
        </w:rPr>
        <w:fldChar w:fldCharType="end"/>
      </w:r>
      <w:r>
        <w:rPr>
          <w:rFonts w:asciiTheme="minorHAnsi" w:hAnsiTheme="minorHAnsi" w:cstheme="minorHAnsi"/>
          <w:color w:val="000000"/>
          <w:sz w:val="22"/>
          <w:szCs w:val="22"/>
        </w:rPr>
        <w:t xml:space="preserve">. </w:t>
      </w:r>
      <w:r w:rsidR="00056B52" w:rsidRPr="00056B52">
        <w:rPr>
          <w:rFonts w:asciiTheme="minorHAnsi" w:hAnsiTheme="minorHAnsi" w:cstheme="minorHAnsi"/>
          <w:color w:val="000000"/>
          <w:sz w:val="22"/>
          <w:szCs w:val="22"/>
        </w:rPr>
        <w:t xml:space="preserve">Ces différences contextuelles contribuent à la disparité observée entre les pratiques selon les milieux d’exercice </w:t>
      </w:r>
      <w:r>
        <w:rPr>
          <w:rFonts w:asciiTheme="minorHAnsi" w:hAnsiTheme="minorHAnsi" w:cstheme="minorHAnsi"/>
          <w:color w:val="000000"/>
          <w:sz w:val="22"/>
          <w:szCs w:val="22"/>
        </w:rPr>
        <w:fldChar w:fldCharType="begin"/>
      </w:r>
      <w:r w:rsidR="00010CF6">
        <w:rPr>
          <w:rFonts w:asciiTheme="minorHAnsi" w:hAnsiTheme="minorHAnsi" w:cstheme="minorHAnsi"/>
          <w:color w:val="000000"/>
          <w:sz w:val="22"/>
          <w:szCs w:val="22"/>
        </w:rPr>
        <w:instrText xml:space="preserve"> ADDIN ZOTERO_ITEM CSL_CITATION {"citationID":"72KxYMkk","properties":{"formattedCitation":"(Mancini &amp; Horak, 2010)","plainCitation":"(Mancini &amp; Horak, 2010)","noteIndex":0},"citationItems":[{"id":525,"uris":["http://zotero.org/users/10583480/items/9PLFT54E"],"itemData":{"id":525,"type":"article-journal","abstract":"Control of balance is complex and involves maintaining postures, facilitating movement, and recovering equilibrium. Balance control consists of controlling the body center of mass over its limits of stability. Clinical balance assessment can help to assess fall risk and/or determine the underlying reasons for balance disorders. Most functional balance assessment scales assess fall risk and the need for balance rehabilitation but do not differentiate types of balance deficits. A system approach to clinical balance assessment can differentiate different kinds of balance disorders and a physiological approach can determine underlying sensorimotor mechanisms contributing to balance disorders. Objective measures of balance using computerized systems and wearable inertial sensors can bring more sensitive, specific and responsive balance testing to clinical practice.","container-title":"European Journal of Physical and Rehabilitation Medicine","ISSN":"1973-9095","issue":"2","journalAbbreviation":"Eur J Phys Rehabil Med","language":"eng","note":"PMID: 20485226\nPMCID: PMC3033730","page":"239-248","source":"PubMed","title":"The relevance of clinical balance assessment tools to differentiate balance deficits","volume":"46","author":[{"family":"Mancini","given":"M."},{"family":"Horak","given":"F. B."}],"issued":{"date-parts":[["2010",6]]}}}],"schema":"https://github.com/citation-style-language/schema/raw/master/csl-citation.json"} </w:instrText>
      </w:r>
      <w:r>
        <w:rPr>
          <w:rFonts w:asciiTheme="minorHAnsi" w:hAnsiTheme="minorHAnsi" w:cstheme="minorHAnsi"/>
          <w:color w:val="000000"/>
          <w:sz w:val="22"/>
          <w:szCs w:val="22"/>
        </w:rPr>
        <w:fldChar w:fldCharType="separate"/>
      </w:r>
      <w:r w:rsidR="00010CF6">
        <w:rPr>
          <w:rFonts w:asciiTheme="minorHAnsi" w:hAnsiTheme="minorHAnsi" w:cstheme="minorHAnsi"/>
          <w:noProof/>
          <w:color w:val="000000"/>
          <w:sz w:val="22"/>
          <w:szCs w:val="22"/>
        </w:rPr>
        <w:t>(Mancini &amp; Horak, 2010)</w:t>
      </w:r>
      <w:r>
        <w:rPr>
          <w:rFonts w:asciiTheme="minorHAnsi" w:hAnsiTheme="minorHAnsi" w:cstheme="minorHAnsi"/>
          <w:color w:val="000000"/>
          <w:sz w:val="22"/>
          <w:szCs w:val="22"/>
        </w:rPr>
        <w:fldChar w:fldCharType="end"/>
      </w:r>
      <w:r w:rsidR="00010CF6">
        <w:rPr>
          <w:rFonts w:asciiTheme="minorHAnsi" w:hAnsiTheme="minorHAnsi" w:cstheme="minorHAnsi"/>
          <w:color w:val="000000"/>
          <w:sz w:val="22"/>
          <w:szCs w:val="22"/>
        </w:rPr>
        <w:t>.</w:t>
      </w:r>
    </w:p>
    <w:p w14:paraId="41D5904B" w14:textId="77777777" w:rsidR="008E0722" w:rsidRPr="003170C9" w:rsidRDefault="008E0722" w:rsidP="008E0722">
      <w:pPr>
        <w:pStyle w:val="NormalWeb"/>
        <w:spacing w:line="360" w:lineRule="auto"/>
        <w:jc w:val="both"/>
        <w:rPr>
          <w:rFonts w:asciiTheme="minorHAnsi" w:hAnsiTheme="minorHAnsi" w:cstheme="minorHAnsi"/>
          <w:color w:val="000000"/>
          <w:sz w:val="22"/>
          <w:szCs w:val="22"/>
        </w:rPr>
      </w:pPr>
    </w:p>
    <w:p w14:paraId="3ED5A425" w14:textId="2FC2C6A2" w:rsidR="002972E6" w:rsidRDefault="002972E6" w:rsidP="008E0722">
      <w:pPr>
        <w:pStyle w:val="Titre2"/>
        <w:spacing w:line="360" w:lineRule="auto"/>
        <w:jc w:val="both"/>
      </w:pPr>
      <w:bookmarkStart w:id="23" w:name="_Toc221704620"/>
      <w:r>
        <w:t>Problématisation</w:t>
      </w:r>
      <w:bookmarkEnd w:id="23"/>
    </w:p>
    <w:p w14:paraId="0E8136CD" w14:textId="0CA41131" w:rsidR="005C0BE0" w:rsidRDefault="005C0BE0" w:rsidP="008E0722">
      <w:pPr>
        <w:spacing w:line="360" w:lineRule="auto"/>
        <w:ind w:firstLine="397"/>
        <w:jc w:val="both"/>
      </w:pPr>
      <w:r>
        <w:t>Le vieillissement de la population entraîne des troubles de santé liés à l’âge et particulièrement des troubles de l’équilibre</w:t>
      </w:r>
      <w:r w:rsidR="00D36183">
        <w:t xml:space="preserve"> </w:t>
      </w:r>
      <w:r w:rsidR="00D36183">
        <w:fldChar w:fldCharType="begin"/>
      </w:r>
      <w:r w:rsidR="00D36183">
        <w:instrText xml:space="preserve"> ADDIN ZOTERO_ITEM CSL_CITATION {"citationID":"Dw0lTGL9","properties":{"formattedCitation":"(Ang et al., 2020)","plainCitation":"(Ang et al., 2020)","noteIndex":0},"citationItems":[{"id":110,"uris":["http://zotero.org/users/10583480/items/BPVXTWTU"],"itemData":{"id":110,"type":"article-journal","abstract":"One in three community-dwelling elderly aged ≥ 65 years and one in two aged &gt; 80 years will have at least one fall within a year. Many elderly people are ‘silent fallers’ who do not report the fall nor seek medical assistance unless they are injured. In Singapore, falls account for 40% of injury-related deaths. Unaddressed risk factors for falls lead to recurrent falls and poor quality of life. Elderly people who have experienced falls and near falls can have a fear of falling, post-fall anxiety syndrome, depression and reduction in activities, with a negative impact on their well-being. Primary care doctors can screen and optimise modifiable risk factors such as poor vision, balance, poor gait, motor weakness, joint disorders, psychotropic drugs, sedatives, anti-hypertension medications, choice of footwear and environment factors. Timely referrals for cataract operations, balance and strengthening exercises, and osteoporosis treatment can reduce the risk of falls and injurious outcomes.","container-title":"Singapore Medical Journal","DOI":"10.11622/smedj.2020029","ISSN":"0037-5675","issue":"3","journalAbbreviation":"Singapore Med J","note":"PMID: 32488276\nPMCID: PMC7905119","page":"116-121","source":"PubMed Central","title":"Approach to falls among the elderly in the community","volume":"61","author":[{"family":"Ang","given":"Guat Cheng"},{"family":"Low","given":"Shou Lin"},{"family":"How","given":"Choon How"}],"issued":{"date-parts":[["2020",3]]}}}],"schema":"https://github.com/citation-style-language/schema/raw/master/csl-citation.json"} </w:instrText>
      </w:r>
      <w:r w:rsidR="00D36183">
        <w:fldChar w:fldCharType="separate"/>
      </w:r>
      <w:r w:rsidR="00D36183">
        <w:rPr>
          <w:noProof/>
        </w:rPr>
        <w:t>(Ang et al., 2020)</w:t>
      </w:r>
      <w:r w:rsidR="00D36183">
        <w:fldChar w:fldCharType="end"/>
      </w:r>
      <w:r>
        <w:t>.</w:t>
      </w:r>
      <w:r w:rsidR="002D1A39">
        <w:t xml:space="preserve"> En effet</w:t>
      </w:r>
      <w:r w:rsidR="00BB58F8">
        <w:t>,</w:t>
      </w:r>
      <w:r w:rsidR="002D1A39">
        <w:t xml:space="preserve"> ils résultent </w:t>
      </w:r>
      <w:r w:rsidR="00AA1CFF">
        <w:t>de la décompensation</w:t>
      </w:r>
      <w:r w:rsidR="002D1A39">
        <w:t xml:space="preserve"> des systèmes sensoriels, moteurs et </w:t>
      </w:r>
      <w:r w:rsidR="00BB6694">
        <w:t>cognitifs</w:t>
      </w:r>
      <w:bookmarkStart w:id="24" w:name="_Hlk221292053"/>
      <w:r w:rsidR="00BB6694">
        <w:t>.</w:t>
      </w:r>
      <w:r>
        <w:t xml:space="preserve"> </w:t>
      </w:r>
      <w:r w:rsidR="00263011">
        <w:t>C</w:t>
      </w:r>
      <w:r>
        <w:t xml:space="preserve">es troubles </w:t>
      </w:r>
      <w:r w:rsidR="0053420F">
        <w:t>représentent</w:t>
      </w:r>
      <w:r>
        <w:t xml:space="preserve"> </w:t>
      </w:r>
      <w:r w:rsidR="0053420F">
        <w:t xml:space="preserve">la première cause de chute qui </w:t>
      </w:r>
      <w:r w:rsidR="00BB58F8">
        <w:t xml:space="preserve">est </w:t>
      </w:r>
      <w:r w:rsidR="0053420F">
        <w:t>elle-même responsable de conséquences ayant un retentissement physique et psychique, une perte d’autonomie et un impact soci</w:t>
      </w:r>
      <w:bookmarkEnd w:id="24"/>
      <w:r w:rsidR="004E0E4E">
        <w:t xml:space="preserve">al </w:t>
      </w:r>
      <w:r w:rsidR="004E0E4E">
        <w:fldChar w:fldCharType="begin"/>
      </w:r>
      <w:r w:rsidR="004E0E4E">
        <w:instrText xml:space="preserve"> ADDIN ZOTERO_ITEM CSL_CITATION {"citationID":"DwOMCwSZ","properties":{"formattedCitation":"(Blain et al., 2015)","plainCitation":"(Blain et al., 2015)","noteIndex":0},"citationItems":[{"id":299,"uris":["http://zotero.org/users/10583480/items/528IIS8M"],"itemData":{"id":299,"type":"article-journal","language":"fr","source":"Zotero","title":"Activité physique et prévention des chutes chez les personnes âgées","author":[{"family":"Blain","given":"Hubert"},{"family":"Bloch","given":"Frédéric"},{"family":"Borel","given":"Liliane"},{"family":"Dargent-Molina","given":"Patricia"},{"family":"Gauvain","given":"Jean Bernard"},{"family":"Hewson","given":"David"},{"family":"Orève","given":"Marie-Joëlle"},{"family":"Kemoun","given":"Gilles"},{"family":"Mourey","given":"France"},{"family":"Puisieux","given":"François"},{"family":"Rolland","given":"Yves"},{"family":"Stephan","given":"Yannick"}],"issued":{"date-parts":[["2015",1]]}}}],"schema":"https://github.com/citation-style-language/schema/raw/master/csl-citation.json"} </w:instrText>
      </w:r>
      <w:r w:rsidR="004E0E4E">
        <w:fldChar w:fldCharType="separate"/>
      </w:r>
      <w:r w:rsidR="004E0E4E">
        <w:rPr>
          <w:noProof/>
        </w:rPr>
        <w:t>(Blain et al., 2015)</w:t>
      </w:r>
      <w:r w:rsidR="004E0E4E">
        <w:fldChar w:fldCharType="end"/>
      </w:r>
      <w:r w:rsidR="0053420F">
        <w:t xml:space="preserve">. C’est pourquoi la prévention des chutes, afin d’en réduire la prévalence, devient un enjeu de santé publique majeur pour notre société. Les professionnels de santé </w:t>
      </w:r>
      <w:r w:rsidR="00AA1CFF">
        <w:t>jouent</w:t>
      </w:r>
      <w:r w:rsidR="0053420F">
        <w:t xml:space="preserve"> un rôle important</w:t>
      </w:r>
      <w:r w:rsidR="00BB58F8">
        <w:t xml:space="preserve">, plus particulièrement les masseurs-kinésithérapeutes. </w:t>
      </w:r>
      <w:r w:rsidR="00AA1CFF">
        <w:t xml:space="preserve">En effet réduire les chutes et leurs conséquences pourrait permettre à l’État de limiter </w:t>
      </w:r>
      <w:r w:rsidR="007D27EF">
        <w:t>les coûts financiers</w:t>
      </w:r>
      <w:r w:rsidR="00AA1CFF">
        <w:t xml:space="preserve"> du</w:t>
      </w:r>
      <w:r w:rsidR="00BB58F8">
        <w:t>s</w:t>
      </w:r>
      <w:r w:rsidR="00AA1CFF">
        <w:t xml:space="preserve"> au vieillissement</w:t>
      </w:r>
      <w:r w:rsidR="00263011">
        <w:t xml:space="preserve"> </w:t>
      </w:r>
      <w:r w:rsidR="00263011">
        <w:fldChar w:fldCharType="begin"/>
      </w:r>
      <w:r w:rsidR="00A206B8">
        <w:instrText xml:space="preserve"> ADDIN ZOTERO_ITEM CSL_CITATION {"citationID":"YalCf7JZ","properties":{"formattedCitation":"(Verg\\uc0\\u233{} et al., 2024a)","plainCitation":"(Vergé et al., 2024a)","noteIndex":0},"citationItems":[{"id":254,"uris":["http://zotero.org/users/10583480/items/FQBLVUAZ"],"itemData":{"id":254,"type":"article-journal","container-title":"Santé Publique","DOI":"10.3917/spub.hs1.2024.0100","ISSN":"0995-3914","issue":"HS1","language":"fr","note":"publisher: S.F.S.P.","page":"100-100","source":"stm.cairn.info","title":"Plan Antichute des personnes âgées : diagnostic territorial des actions existantes en lien avec la prévention des chutes et/ou du parcours chuteur en région Auvergne Rhône-Alpes","title-short":"Plan Antichute des personnes âgées","volume":"36","author":[{"family":"Vergé","given":"Charlotte"},{"family":"Dorier","given":"Solène"},{"family":"Addario","given":"Alexandra"},{"family":"Gavazzi","given":"Gaétan"},{"family":"Barth","given":"Nathalie"}],"issued":{"date-parts":[["2024",9,26]]}}}],"schema":"https://github.com/citation-style-language/schema/raw/master/csl-citation.json"} </w:instrText>
      </w:r>
      <w:r w:rsidR="00263011">
        <w:fldChar w:fldCharType="separate"/>
      </w:r>
      <w:r w:rsidR="00A206B8" w:rsidRPr="00A206B8">
        <w:rPr>
          <w:rFonts w:ascii="Calibri" w:cs="Calibri"/>
          <w:szCs w:val="24"/>
        </w:rPr>
        <w:t>(Vergé et al., 2024a)</w:t>
      </w:r>
      <w:r w:rsidR="00263011">
        <w:fldChar w:fldCharType="end"/>
      </w:r>
      <w:r w:rsidR="00AA1CFF">
        <w:t>.</w:t>
      </w:r>
    </w:p>
    <w:p w14:paraId="53A1C9FF" w14:textId="5055CCD8" w:rsidR="0053420F" w:rsidRDefault="0053420F" w:rsidP="001C18E0">
      <w:pPr>
        <w:spacing w:line="360" w:lineRule="auto"/>
        <w:jc w:val="both"/>
      </w:pPr>
      <w:r>
        <w:t>Les M</w:t>
      </w:r>
      <w:r w:rsidR="008E50F2">
        <w:t>K</w:t>
      </w:r>
      <w:r>
        <w:t xml:space="preserve"> dispose</w:t>
      </w:r>
      <w:r w:rsidR="008E50F2">
        <w:t>nt</w:t>
      </w:r>
      <w:r>
        <w:t xml:space="preserve"> de compétences et de nombreux outils techniques permettant d’objectiver, de classifier ou encore de dépister des troubles pouvant engendrer un risque de chute</w:t>
      </w:r>
      <w:r w:rsidR="00263011">
        <w:t>.</w:t>
      </w:r>
      <w:r>
        <w:t xml:space="preserve"> </w:t>
      </w:r>
      <w:r w:rsidR="00263011">
        <w:t>M</w:t>
      </w:r>
      <w:r>
        <w:t xml:space="preserve">algré la multitude de tests disponibles pour évaluer l’équilibre d’une personne, il existe une disparité entre chaque </w:t>
      </w:r>
      <w:r w:rsidR="008E50F2">
        <w:t>MK français. En effet</w:t>
      </w:r>
      <w:r w:rsidR="00BB58F8">
        <w:t>,</w:t>
      </w:r>
      <w:r w:rsidR="008E50F2">
        <w:t xml:space="preserve"> certains tests sont décrits comme ayant la capacité d’évaluer plusieurs composantes de l’équilibre alors que certains n’en évaluent seulement </w:t>
      </w:r>
      <w:r w:rsidR="00BB58F8">
        <w:t>qu’</w:t>
      </w:r>
      <w:r w:rsidR="008E50F2">
        <w:t xml:space="preserve">une </w:t>
      </w:r>
      <w:r w:rsidR="00BB58F8">
        <w:t>simple</w:t>
      </w:r>
      <w:r w:rsidR="008E50F2">
        <w:t xml:space="preserve"> partie. La </w:t>
      </w:r>
      <w:r w:rsidR="008E50F2">
        <w:lastRenderedPageBreak/>
        <w:t xml:space="preserve">problématique </w:t>
      </w:r>
      <w:r w:rsidR="00BB58F8">
        <w:t xml:space="preserve">réside en le fait </w:t>
      </w:r>
      <w:r w:rsidR="008E50F2">
        <w:t>que les tests globaux</w:t>
      </w:r>
      <w:r w:rsidR="00BB58F8">
        <w:t xml:space="preserve"> </w:t>
      </w:r>
      <w:r w:rsidR="008E50F2">
        <w:t>permettant de regrouper toutes les composantes</w:t>
      </w:r>
      <w:r w:rsidR="00BB58F8">
        <w:t xml:space="preserve"> </w:t>
      </w:r>
      <w:r w:rsidR="008E50F2">
        <w:t>sont</w:t>
      </w:r>
      <w:r w:rsidR="00BB58F8">
        <w:t xml:space="preserve">, </w:t>
      </w:r>
      <w:r w:rsidR="008E50F2">
        <w:t>en pratique clinique, perçus comme difficile à réaliser par manque de connaissances sur le sujet ou alors par manque de temps</w:t>
      </w:r>
      <w:r w:rsidR="00263011">
        <w:t xml:space="preserve"> </w:t>
      </w:r>
      <w:r w:rsidR="00263011">
        <w:fldChar w:fldCharType="begin"/>
      </w:r>
      <w:r w:rsidR="00263011">
        <w:instrText xml:space="preserve"> ADDIN ZOTERO_ITEM CSL_CITATION {"citationID":"MqasTAQ4","properties":{"formattedCitation":"(Leddy et al., 2011)","plainCitation":"(Leddy et al., 2011)","noteIndex":0},"citationItems":[{"id":224,"uris":["http://zotero.org/users/10583480/items/8A2EEA9S"],"itemData":{"id":224,"type":"article-journal","abstract":"Background and Purpose\nThe Balance Evaluation Systems Test (BESTest) has been shown to be a reliable and valid measure of balance in individuals with Parkinson disease (PD). A less time-consuming assessment may increase clinical utility. We compared the discriminative fall risk ability of the Mini-BESTest to that of the BESTest, and determined the reliability and normal distribution of scores for each section of the BESTest and the Mini-BESTest in individuals with PD.\n\nMethods\nEighty individuals with idiopathic PD were assessed using the BESTest and Mini-BESTest. A faller was defined as an individual with 2 or more falls in the prior 6-months. Subsets of individuals were used to determine inter-rater (n=15) and test-retest reliability (n=24).\n\nResults\nThe Mini-BESTest, total BESTest score, and all sections of the BESTest, showed a significant difference between the average scores of fallers and non-fallers. For both the Mini-BESTest and BESTest, inter-rater (intraclass correlation ICC≥0.91) and test-retest (ICC≥0.88) reliability was high. The Mini-BESTest and BESTest were highly correlated (r=0.955). Accuracy of identifying a faller was comparable for the Mini-BESTest and BESTest (area under the ROC plots =0.86 and =0.84, respectively).\n\nDiscussion\nNo specific section of the BESTest captured the primary balance deficit for individuals with PD. The post-test probabilities for discriminating fallers versus non-fallers were comparable-to-slightly stronger when using the Mini-BESTest.\n\nConclusion\nAlthough the Mini-BESTest has fewer than half of the items in the BESTest and takes only 15 minutes to complete, it is as reliable as the BESTest and has comparable-to-slightly greater discriminative properties for identifying fallers in individuals with Parkinson Disease.","container-title":"Journal of neurologic physical therapy : JNPT","DOI":"10.1097/NPT.0b013e31821a620c","ISSN":"1557-0576","issue":"2","journalAbbreviation":"J Neurol Phys Ther","note":"PMID: 21934364\nPMCID: PMC3178037","page":"90-97","source":"PubMed Central","title":"Utility of the Mini-BESTest, BESTest, and BESTest Sections for Balance Assessments in Individuals with Parkinson Disease","volume":"35","author":[{"family":"Leddy","given":"Abigail L."},{"family":"Crowner","given":"Beth E."},{"family":"Earhart","given":"Gammon M."}],"issued":{"date-parts":[["2011",6]]}}}],"schema":"https://github.com/citation-style-language/schema/raw/master/csl-citation.json"} </w:instrText>
      </w:r>
      <w:r w:rsidR="00263011">
        <w:fldChar w:fldCharType="separate"/>
      </w:r>
      <w:r w:rsidR="00263011">
        <w:rPr>
          <w:noProof/>
        </w:rPr>
        <w:t>(Leddy et al., 2011)</w:t>
      </w:r>
      <w:r w:rsidR="00263011">
        <w:fldChar w:fldCharType="end"/>
      </w:r>
      <w:r w:rsidR="008E50F2">
        <w:t xml:space="preserve">. </w:t>
      </w:r>
      <w:r w:rsidR="00BB58F8">
        <w:t>Ces facteurs sont d’autant plus importants</w:t>
      </w:r>
      <w:r w:rsidR="008E50F2">
        <w:t xml:space="preserve"> concernant l’exercice libéral où le temps représente une importante contrainte de l’activité. Au-delà de cette problématique, on observe aussi une disparité certainement </w:t>
      </w:r>
      <w:r w:rsidR="00BB58F8">
        <w:t xml:space="preserve">due </w:t>
      </w:r>
      <w:r w:rsidR="008E50F2">
        <w:t>aux variations de nombreux autres facteurs tels que</w:t>
      </w:r>
      <w:r w:rsidR="00BB58F8">
        <w:t xml:space="preserve">, </w:t>
      </w:r>
      <w:r w:rsidR="008E50F2">
        <w:t xml:space="preserve">la formation qui varie d’un institut de formation à l’autre, l’accessibilité à certains outils ou encore l’adaptation de la prise en soin à chaque patient qui ne permet pas d’avoir un examen standardisé. </w:t>
      </w:r>
    </w:p>
    <w:p w14:paraId="1824D587" w14:textId="6198B04C" w:rsidR="008E50F2" w:rsidRDefault="008E50F2" w:rsidP="001C18E0">
      <w:pPr>
        <w:spacing w:line="360" w:lineRule="auto"/>
        <w:jc w:val="both"/>
      </w:pPr>
      <w:r w:rsidRPr="004538E6">
        <w:t>Ce non-consensus</w:t>
      </w:r>
      <w:r>
        <w:t xml:space="preserve"> au sein de la profession pose la question de l’efficacité de certains tests et de leur utilisation plus ou moins </w:t>
      </w:r>
      <w:r w:rsidR="004538E6">
        <w:t xml:space="preserve">appropriée </w:t>
      </w:r>
      <w:r>
        <w:t xml:space="preserve">aux besoins de chaque patient. </w:t>
      </w:r>
      <w:r w:rsidR="00AA1CFF">
        <w:t>En effet</w:t>
      </w:r>
      <w:r w:rsidR="004538E6">
        <w:t>,</w:t>
      </w:r>
      <w:r w:rsidR="00AA1CFF">
        <w:t xml:space="preserve"> une évaluation incomplète ne permet pas d’identifier correctement les composantes altérées chez le patient et ne facilite pas la mise en place d’une prise en soin adapté et efficace</w:t>
      </w:r>
      <w:r w:rsidR="00263011">
        <w:t xml:space="preserve"> </w:t>
      </w:r>
      <w:r w:rsidR="00263011">
        <w:fldChar w:fldCharType="begin"/>
      </w:r>
      <w:r w:rsidR="00D27E0A">
        <w:instrText xml:space="preserve"> ADDIN ZOTERO_ITEM CSL_CITATION {"citationID":"vLxZVSzr","properties":{"formattedCitation":"(Sibley, Beauchamp, Ooteghem, et al., 2015)","plainCitation":"(Sibley, Beauchamp, Ooteghem, et al., 2015)","noteIndex":0},"citationItems":[{"id":"yBnlN4SL/oxguExi7","uris":["http://zotero.org/users/10583480/items/DRIFK8AN"],"itemData":{"id":"uWlYI87A/alBO7ulA","type":"article-journal","container-title":"Archives of Physical Medicine and Rehabilitation","DOI":"10.1016/j.apmr.2014.06.021","ISSN":"0003-9993, 1532-821X","issue":"1","journalAbbreviation":"Archives of Physical Medicine and Rehabilitation","language":"English","note":"publisher: Elsevier\nPMID: 25073007","page":"122-132.e29","source":"www.archives-pmr.org","title":"Using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K."},{"family":"Ooteghem","given":"Karen Van"},{"family":"Straus","given":"Sharon E."},{"family":"Jaglal","given":"Susan B."}],"issued":{"date-parts":[["2015",1,1]]}}}],"schema":"https://github.com/citation-style-language/schema/raw/master/csl-citation.json"} </w:instrText>
      </w:r>
      <w:r w:rsidR="00263011">
        <w:fldChar w:fldCharType="separate"/>
      </w:r>
      <w:r w:rsidR="00BC5B07">
        <w:rPr>
          <w:noProof/>
        </w:rPr>
        <w:t>(Sibley, Beauchamp, Ooteghem, et al., 2015)</w:t>
      </w:r>
      <w:r w:rsidR="00263011">
        <w:fldChar w:fldCharType="end"/>
      </w:r>
      <w:r w:rsidR="00AA1CFF">
        <w:t>.</w:t>
      </w:r>
    </w:p>
    <w:p w14:paraId="4B3F0AA0" w14:textId="4BD551BE" w:rsidR="00AA1CFF" w:rsidRDefault="00AA1CFF" w:rsidP="001C18E0">
      <w:pPr>
        <w:spacing w:line="360" w:lineRule="auto"/>
        <w:jc w:val="both"/>
      </w:pPr>
      <w:r>
        <w:tab/>
        <w:t>De plus, une clarification sur l’utilisation de ces tests suscite également un intérêt pour les praticiens afin qu’il</w:t>
      </w:r>
      <w:r w:rsidR="004538E6">
        <w:t>s</w:t>
      </w:r>
      <w:r>
        <w:t xml:space="preserve"> renforce</w:t>
      </w:r>
      <w:r w:rsidR="004538E6">
        <w:t>nt</w:t>
      </w:r>
      <w:r>
        <w:t xml:space="preserve"> leur</w:t>
      </w:r>
      <w:r w:rsidR="004538E6">
        <w:t>s</w:t>
      </w:r>
      <w:r>
        <w:t xml:space="preserve"> connaissance</w:t>
      </w:r>
      <w:r w:rsidR="004538E6">
        <w:t>s</w:t>
      </w:r>
      <w:r>
        <w:t xml:space="preserve"> sur ce sujet et </w:t>
      </w:r>
      <w:r w:rsidR="004538E6">
        <w:t>optimisent</w:t>
      </w:r>
      <w:r>
        <w:t xml:space="preserve"> le temps accordé à chaque patient.</w:t>
      </w:r>
    </w:p>
    <w:p w14:paraId="336BDBF6" w14:textId="0D049BFA" w:rsidR="008E50F2" w:rsidRPr="0063518F" w:rsidRDefault="008E50F2" w:rsidP="001C18E0">
      <w:pPr>
        <w:spacing w:line="360" w:lineRule="auto"/>
        <w:jc w:val="both"/>
        <w:rPr>
          <w:b/>
          <w:bCs/>
        </w:rPr>
      </w:pPr>
      <w:r>
        <w:tab/>
        <w:t xml:space="preserve">Ce </w:t>
      </w:r>
      <w:r w:rsidR="00AA1CFF">
        <w:t>q</w:t>
      </w:r>
      <w:r>
        <w:t xml:space="preserve">ui amène la problématique suivante : </w:t>
      </w:r>
      <w:r w:rsidRPr="0063518F">
        <w:rPr>
          <w:b/>
          <w:bCs/>
        </w:rPr>
        <w:t xml:space="preserve">Quels sont les tests utilisés par les kinésithérapeutes français pour </w:t>
      </w:r>
      <w:r w:rsidR="002D1A39" w:rsidRPr="0063518F">
        <w:rPr>
          <w:b/>
          <w:bCs/>
        </w:rPr>
        <w:t>évaluer</w:t>
      </w:r>
      <w:r w:rsidRPr="0063518F">
        <w:rPr>
          <w:b/>
          <w:bCs/>
        </w:rPr>
        <w:t xml:space="preserve"> l’équilibre d’une personne âgée et pourquoi les choisissent-ils préférentiellement</w:t>
      </w:r>
      <w:r w:rsidR="002D1A39" w:rsidRPr="0063518F">
        <w:rPr>
          <w:b/>
          <w:bCs/>
        </w:rPr>
        <w:t> ?</w:t>
      </w:r>
    </w:p>
    <w:p w14:paraId="46C5EE1A" w14:textId="494F2A92" w:rsidR="00010CF6" w:rsidRPr="00C0572E" w:rsidRDefault="00CD0954" w:rsidP="001C18E0">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r>
      <w:r w:rsidR="00010CF6" w:rsidRPr="00C0572E">
        <w:rPr>
          <w:rFonts w:asciiTheme="minorHAnsi" w:hAnsiTheme="minorHAnsi" w:cstheme="minorHAnsi"/>
          <w:color w:val="000000"/>
          <w:sz w:val="22"/>
          <w:szCs w:val="22"/>
        </w:rPr>
        <w:t xml:space="preserve">L’objectif principal est d’identifier les tests les plus couramment utilisés par les kinésithérapeutes français pour l’évaluation de l’équilibre chez les patients âgés et pourquoi les utilisent-ils préférentiellement. Les facteurs influençant le choix des tests, tels que le temps disponible, la pertinence clinique ou encore la formation reçue seront analysés. </w:t>
      </w:r>
    </w:p>
    <w:p w14:paraId="324C36DD" w14:textId="1D5B1818" w:rsidR="00010CF6" w:rsidRPr="00C0572E" w:rsidRDefault="00CD0954" w:rsidP="001C18E0">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r>
      <w:r w:rsidR="00010CF6" w:rsidRPr="00C0572E">
        <w:rPr>
          <w:rFonts w:asciiTheme="minorHAnsi" w:hAnsiTheme="minorHAnsi" w:cstheme="minorHAnsi"/>
          <w:color w:val="000000"/>
          <w:sz w:val="22"/>
          <w:szCs w:val="22"/>
        </w:rPr>
        <w:t>Dans le cadre de cette étude, plusieurs hypothèses sont formulées. Tout d’abord, il est probable que les kinésithérapeutes favorisent les tests rapides et faciles à mettre en œuvre, tels que le Mini-</w:t>
      </w:r>
      <w:proofErr w:type="spellStart"/>
      <w:r w:rsidR="00010CF6" w:rsidRPr="00C0572E">
        <w:rPr>
          <w:rFonts w:asciiTheme="minorHAnsi" w:hAnsiTheme="minorHAnsi" w:cstheme="minorHAnsi"/>
          <w:color w:val="000000"/>
          <w:sz w:val="22"/>
          <w:szCs w:val="22"/>
        </w:rPr>
        <w:t>BESTest</w:t>
      </w:r>
      <w:proofErr w:type="spellEnd"/>
      <w:r>
        <w:rPr>
          <w:rFonts w:asciiTheme="minorHAnsi" w:hAnsiTheme="minorHAnsi" w:cstheme="minorHAnsi"/>
          <w:color w:val="000000"/>
          <w:sz w:val="22"/>
          <w:szCs w:val="22"/>
        </w:rPr>
        <w:t>,</w:t>
      </w:r>
      <w:r w:rsidR="00010CF6" w:rsidRPr="00C0572E">
        <w:rPr>
          <w:rFonts w:asciiTheme="minorHAnsi" w:hAnsiTheme="minorHAnsi" w:cstheme="minorHAnsi"/>
          <w:color w:val="000000"/>
          <w:sz w:val="22"/>
          <w:szCs w:val="22"/>
        </w:rPr>
        <w:t xml:space="preserve"> le TUG</w:t>
      </w:r>
      <w:r>
        <w:rPr>
          <w:rFonts w:asciiTheme="minorHAnsi" w:hAnsiTheme="minorHAnsi" w:cstheme="minorHAnsi"/>
          <w:color w:val="000000"/>
          <w:sz w:val="22"/>
          <w:szCs w:val="22"/>
        </w:rPr>
        <w:t xml:space="preserve"> ou encore le single leg test</w:t>
      </w:r>
      <w:r w:rsidR="00010CF6" w:rsidRPr="00C0572E">
        <w:rPr>
          <w:rFonts w:asciiTheme="minorHAnsi" w:hAnsiTheme="minorHAnsi" w:cstheme="minorHAnsi"/>
          <w:color w:val="000000"/>
          <w:sz w:val="22"/>
          <w:szCs w:val="22"/>
        </w:rPr>
        <w:t xml:space="preserve">, en raison des contraintes de temps </w:t>
      </w:r>
      <w:r w:rsidR="00010CF6" w:rsidRPr="00C0572E">
        <w:rPr>
          <w:rFonts w:asciiTheme="minorHAnsi" w:hAnsiTheme="minorHAnsi" w:cstheme="minorHAnsi"/>
          <w:color w:val="000000"/>
          <w:sz w:val="22"/>
          <w:szCs w:val="22"/>
        </w:rPr>
        <w:fldChar w:fldCharType="begin"/>
      </w:r>
      <w:r w:rsidR="00FB2E3C">
        <w:rPr>
          <w:rFonts w:asciiTheme="minorHAnsi" w:hAnsiTheme="minorHAnsi" w:cstheme="minorHAnsi"/>
          <w:color w:val="000000"/>
          <w:sz w:val="22"/>
          <w:szCs w:val="22"/>
        </w:rPr>
        <w:instrText xml:space="preserve"> ADDIN ZOTERO_ITEM CSL_CITATION {"citationID":"cvyMEf1H","properties":{"formattedCitation":"(Duncan et al., 2013b)","plainCitation":"(Duncan et al., 2013b)","noteIndex":0},"citationItems":[{"id":365,"uris":["http://zotero.org/users/10583480/items/XCK7YYQ6"],"itemData":{"id":365,"type":"article-journal","abstract":"Background\nThe newly developed Brief–Balance Evaluation System Test (Brief-BESTest) may be useful for measuring balance and predicting falls in individuals with Parkinson disease (PD).\n\nObjectives\nThe purposes of this study were: (1) to describe the balance performance of those with PD using the Brief-BESTest, (2) to determine the relationships among the scores derived from the 3 versions of the BESTest (ie, full BESTest, Mini-BESTest, and Brief-BESTest), and (3) to compare the accuracy of the Brief-BESTest with that of the Mini-BESTest and BESTest in identifying recurrent fallers among people with PD.\n\nDesign\nThis was a prospective cohort study.\n\nMethods\nEighty participants with PD completed a baseline balance assessment. All participants reported a fall history during the previous 6 months. Fall history was again collected 6 months (n=51) and 12 months (n=40) later.\n\nResults\nAt baseline, participants had varying levels of balance impairment, and Brief-BESTest scores were significantly correlated with Mini-BESTest (r=.94, P&lt;.001) and BESTest (r=.95, P&lt;.001) scores. Six-month retrospective fall prediction accuracy of the Brief-BESTest was moderately high (area under the curve [AUC]=0.82, sensitivity=0.76, and specificity=0.84). Prospective fall prediction accuracy over 6 months was similarly accurate (AUC=0.88, sensitivity=0.71, and specificity=0.87), but was less sensitive over 12 months (AUC=0.76, sensitivity=0.53, and specificity=0.93).\n\nLimitations\nThe sample included primarily individuals with mild to moderate PD. Also, there was a moderate dropout rate at 6 and 12 months.\n\nConclusions\nAll versions of the BESTest were reasonably accurate in identifying future recurrent fallers, especially during the 6 months following assessment. Clinicians can reasonably rely on the Brief-BESTest for predicting falls, particularly when time and equipment constraints are of concern.","container-title":"Physical Therapy","DOI":"10.2522/ptj.20120302","ISSN":"0031-9023","issue":"4","journalAbbreviation":"Phys Ther","note":"number: 4\nPMID: 23174567\nPMCID: PMC3613340","page":"542-550","source":"PubMed Central","title":"Comparative Utility of the BESTest, Mini-BESTest, and Brief-BESTest for Predicting Falls in Individuals With Parkinson Disease: A Cohort Study","title-short":"Comparative Utility of the BESTest, Mini-BESTest, and Brief-BESTest for Predicting Falls in Individuals With Parkinson Disease","volume":"93","author":[{"family":"Duncan","given":"Ryan P."},{"family":"Leddy","given":"Abigail L."},{"family":"Cavanaugh","given":"James T."},{"family":"Dibble","given":"Leland E."},{"family":"Ellis","given":"Terry D."},{"family":"Ford","given":"Matthew P."},{"family":"Foreman","given":"K. Bo"},{"family":"Earhart","given":"Gammon M."}],"issued":{"date-parts":[["2013",4]]}}}],"schema":"https://github.com/citation-style-language/schema/raw/master/csl-citation.json"} </w:instrText>
      </w:r>
      <w:r w:rsidR="00010CF6" w:rsidRPr="00C0572E">
        <w:rPr>
          <w:rFonts w:asciiTheme="minorHAnsi" w:hAnsiTheme="minorHAnsi" w:cstheme="minorHAnsi"/>
          <w:color w:val="000000"/>
          <w:sz w:val="22"/>
          <w:szCs w:val="22"/>
        </w:rPr>
        <w:fldChar w:fldCharType="separate"/>
      </w:r>
      <w:r w:rsidR="00FB2E3C">
        <w:rPr>
          <w:rFonts w:asciiTheme="minorHAnsi" w:hAnsiTheme="minorHAnsi" w:cstheme="minorHAnsi"/>
          <w:noProof/>
          <w:color w:val="000000"/>
          <w:sz w:val="22"/>
          <w:szCs w:val="22"/>
        </w:rPr>
        <w:t>(Duncan et al., 2013b)</w:t>
      </w:r>
      <w:r w:rsidR="00010CF6" w:rsidRPr="00C0572E">
        <w:rPr>
          <w:rFonts w:asciiTheme="minorHAnsi" w:hAnsiTheme="minorHAnsi" w:cstheme="minorHAnsi"/>
          <w:color w:val="000000"/>
          <w:sz w:val="22"/>
          <w:szCs w:val="22"/>
        </w:rPr>
        <w:fldChar w:fldCharType="end"/>
      </w:r>
      <w:r w:rsidR="00010CF6" w:rsidRPr="00C0572E">
        <w:rPr>
          <w:rFonts w:asciiTheme="minorHAnsi" w:hAnsiTheme="minorHAnsi" w:cstheme="minorHAnsi"/>
          <w:color w:val="000000"/>
          <w:sz w:val="22"/>
          <w:szCs w:val="22"/>
        </w:rPr>
        <w:t xml:space="preserve">. De plus, bien que complet et scientifiquement validé, il se peut que le </w:t>
      </w:r>
      <w:proofErr w:type="spellStart"/>
      <w:r w:rsidR="00010CF6" w:rsidRPr="00C0572E">
        <w:rPr>
          <w:rFonts w:asciiTheme="minorHAnsi" w:hAnsiTheme="minorHAnsi" w:cstheme="minorHAnsi"/>
          <w:color w:val="000000"/>
          <w:sz w:val="22"/>
          <w:szCs w:val="22"/>
        </w:rPr>
        <w:t>BESTest</w:t>
      </w:r>
      <w:proofErr w:type="spellEnd"/>
      <w:r w:rsidR="00010CF6" w:rsidRPr="00C0572E">
        <w:rPr>
          <w:rFonts w:asciiTheme="minorHAnsi" w:hAnsiTheme="minorHAnsi" w:cstheme="minorHAnsi"/>
          <w:color w:val="000000"/>
          <w:sz w:val="22"/>
          <w:szCs w:val="22"/>
        </w:rPr>
        <w:t xml:space="preserve"> soit sous-utilisé en raison de sa durée d’administration</w:t>
      </w:r>
      <w:r>
        <w:rPr>
          <w:rFonts w:asciiTheme="minorHAnsi" w:hAnsiTheme="minorHAnsi" w:cstheme="minorHAnsi"/>
          <w:color w:val="000000"/>
          <w:sz w:val="22"/>
          <w:szCs w:val="22"/>
        </w:rPr>
        <w:t>,</w:t>
      </w:r>
      <w:r w:rsidR="00010CF6" w:rsidRPr="00C0572E">
        <w:rPr>
          <w:rFonts w:asciiTheme="minorHAnsi" w:hAnsiTheme="minorHAnsi" w:cstheme="minorHAnsi"/>
          <w:color w:val="000000"/>
          <w:sz w:val="22"/>
          <w:szCs w:val="22"/>
        </w:rPr>
        <w:t xml:space="preserve"> de sa complexité</w:t>
      </w:r>
      <w:r>
        <w:rPr>
          <w:rFonts w:asciiTheme="minorHAnsi" w:hAnsiTheme="minorHAnsi" w:cstheme="minorHAnsi"/>
          <w:color w:val="000000"/>
          <w:sz w:val="22"/>
          <w:szCs w:val="22"/>
        </w:rPr>
        <w:t xml:space="preserve"> ou du fait qu’il ne soit pas connu</w:t>
      </w:r>
      <w:r w:rsidR="004538E6">
        <w:rPr>
          <w:rFonts w:asciiTheme="minorHAnsi" w:hAnsiTheme="minorHAnsi" w:cstheme="minorHAnsi"/>
          <w:color w:val="000000"/>
          <w:sz w:val="22"/>
          <w:szCs w:val="22"/>
        </w:rPr>
        <w:t xml:space="preserve"> </w:t>
      </w:r>
      <w:r>
        <w:rPr>
          <w:rFonts w:asciiTheme="minorHAnsi" w:hAnsiTheme="minorHAnsi" w:cstheme="minorHAnsi"/>
          <w:color w:val="000000"/>
          <w:sz w:val="22"/>
          <w:szCs w:val="22"/>
        </w:rPr>
        <w:t>par certains praticiens</w:t>
      </w:r>
      <w:r w:rsidR="00010CF6" w:rsidRPr="00C0572E">
        <w:rPr>
          <w:rFonts w:asciiTheme="minorHAnsi" w:hAnsiTheme="minorHAnsi" w:cstheme="minorHAnsi"/>
          <w:color w:val="000000"/>
          <w:sz w:val="22"/>
          <w:szCs w:val="22"/>
        </w:rPr>
        <w:t xml:space="preserve"> </w:t>
      </w:r>
      <w:r w:rsidR="00010CF6" w:rsidRPr="00C0572E">
        <w:rPr>
          <w:rFonts w:asciiTheme="minorHAnsi" w:hAnsiTheme="minorHAnsi" w:cstheme="minorHAnsi"/>
          <w:color w:val="000000"/>
          <w:sz w:val="22"/>
          <w:szCs w:val="22"/>
        </w:rPr>
        <w:fldChar w:fldCharType="begin"/>
      </w:r>
      <w:r w:rsidR="00010CF6" w:rsidRPr="00C0572E">
        <w:rPr>
          <w:rFonts w:asciiTheme="minorHAnsi" w:hAnsiTheme="minorHAnsi" w:cstheme="minorHAnsi"/>
          <w:color w:val="000000"/>
          <w:sz w:val="22"/>
          <w:szCs w:val="22"/>
        </w:rPr>
        <w:instrText xml:space="preserve"> ADDIN ZOTERO_ITEM CSL_CITATION {"citationID":"dHh5HgFW","properties":{"formattedCitation":"(Poiraudeau, 2004)","plainCitation":"(Poiraudeau, 2004)","noteIndex":0},"citationItems":[{"id":396,"uris":["http://zotero.org/users/10583480/items/C7SYW8R8"],"itemData":{"id":396,"type":"article-journal","abstract":"Guide des outils de mesure et d'évaluation en médecine physique et de réadaptation Par François Béthoux et Paul Calmels, Éditions Frison-Roche, 75006 Paris Il s'agit d'un ouvrage extrêmement complet dans lequel les auteurs, après avoir fait un rappel sur ce que devrait être une évaluation et sur la méthodologie de développement d'un outil d'évaluation, font un travail de synthèse remarqua-ble sur les différents outils génériques ou spécifiques d'éva-luation des déficiences, de l'incapacité, du handicap, de la qualité de vie, de la douleur et de l'activité physique. Beaucoup d'échelles d'évaluation sont proposées en annexes ce qui évite au lecteur d'aller les rechercher dans les publications princeps. Cet ouvrage devrait donc faire partie de la bibliothèque de tout médecin de médecine physique et de réadaptation.","container-title":"Annales de Réadaptation et de Médecine Physique","DOI":"10.1016/j.annrmp.2004.01.003","journalAbbreviation":"Annales de Réadaptation et de Médecine Physique","page":"131","source":"ResearchGate","title":"Guide des outils de mesure et d’évaluation en médecine physique et de réadaptation: Par François Béthoux et Paul Calmels, Éditions Frison-Roche, 75006 Paris","title-short":"Guide des outils de mesure et d’évaluation en médecine physique et de réadaptation","volume":"47","author":[{"family":"Poiraudeau","given":"Serge"}],"issued":{"date-parts":[["2004",4,1]]}}}],"schema":"https://github.com/citation-style-language/schema/raw/master/csl-citation.json"} </w:instrText>
      </w:r>
      <w:r w:rsidR="00010CF6" w:rsidRPr="00C0572E">
        <w:rPr>
          <w:rFonts w:asciiTheme="minorHAnsi" w:hAnsiTheme="minorHAnsi" w:cstheme="minorHAnsi"/>
          <w:color w:val="000000"/>
          <w:sz w:val="22"/>
          <w:szCs w:val="22"/>
        </w:rPr>
        <w:fldChar w:fldCharType="separate"/>
      </w:r>
      <w:r w:rsidR="00010CF6" w:rsidRPr="00C0572E">
        <w:rPr>
          <w:rFonts w:asciiTheme="minorHAnsi" w:hAnsiTheme="minorHAnsi" w:cstheme="minorHAnsi"/>
          <w:noProof/>
          <w:color w:val="000000"/>
          <w:sz w:val="22"/>
          <w:szCs w:val="22"/>
        </w:rPr>
        <w:t>(Poiraudeau, 2004)</w:t>
      </w:r>
      <w:r w:rsidR="00010CF6" w:rsidRPr="00C0572E">
        <w:rPr>
          <w:rFonts w:asciiTheme="minorHAnsi" w:hAnsiTheme="minorHAnsi" w:cstheme="minorHAnsi"/>
          <w:color w:val="000000"/>
          <w:sz w:val="22"/>
          <w:szCs w:val="22"/>
        </w:rPr>
        <w:fldChar w:fldCharType="end"/>
      </w:r>
      <w:r w:rsidR="00010CF6" w:rsidRPr="00C0572E">
        <w:rPr>
          <w:rFonts w:asciiTheme="minorHAnsi" w:hAnsiTheme="minorHAnsi" w:cstheme="minorHAnsi"/>
          <w:color w:val="000000"/>
          <w:sz w:val="22"/>
          <w:szCs w:val="22"/>
        </w:rPr>
        <w:t>.</w:t>
      </w:r>
    </w:p>
    <w:p w14:paraId="52AF7C22" w14:textId="4AB81D38" w:rsidR="006E2442" w:rsidRDefault="00010CF6" w:rsidP="001C18E0">
      <w:pPr>
        <w:pStyle w:val="NormalWeb"/>
        <w:spacing w:line="360" w:lineRule="auto"/>
        <w:jc w:val="both"/>
        <w:rPr>
          <w:rFonts w:asciiTheme="minorHAnsi" w:hAnsiTheme="minorHAnsi" w:cstheme="minorHAnsi"/>
          <w:color w:val="000000"/>
          <w:sz w:val="22"/>
          <w:szCs w:val="22"/>
        </w:rPr>
      </w:pPr>
      <w:r w:rsidRPr="00C0572E">
        <w:rPr>
          <w:rFonts w:asciiTheme="minorHAnsi" w:hAnsiTheme="minorHAnsi" w:cstheme="minorHAnsi"/>
          <w:color w:val="000000"/>
          <w:sz w:val="22"/>
          <w:szCs w:val="22"/>
        </w:rPr>
        <w:t xml:space="preserve"> </w:t>
      </w:r>
      <w:r w:rsidR="00CD0954">
        <w:rPr>
          <w:rFonts w:asciiTheme="minorHAnsi" w:hAnsiTheme="minorHAnsi" w:cstheme="minorHAnsi"/>
          <w:color w:val="000000"/>
          <w:sz w:val="22"/>
          <w:szCs w:val="22"/>
        </w:rPr>
        <w:tab/>
      </w:r>
      <w:r w:rsidRPr="00C0572E">
        <w:rPr>
          <w:rFonts w:asciiTheme="minorHAnsi" w:hAnsiTheme="minorHAnsi" w:cstheme="minorHAnsi"/>
          <w:color w:val="000000"/>
          <w:sz w:val="22"/>
          <w:szCs w:val="22"/>
        </w:rPr>
        <w:t xml:space="preserve">Une autre hypothèse repose sur la différence de pratique selon le cadre d’exercice, où les praticiens </w:t>
      </w:r>
      <w:r w:rsidR="006E2442">
        <w:rPr>
          <w:rFonts w:asciiTheme="minorHAnsi" w:hAnsiTheme="minorHAnsi" w:cstheme="minorHAnsi"/>
          <w:color w:val="000000"/>
          <w:sz w:val="22"/>
          <w:szCs w:val="22"/>
        </w:rPr>
        <w:t>travaillant dans des cliniques ou structures privées</w:t>
      </w:r>
      <w:r w:rsidRPr="00C0572E">
        <w:rPr>
          <w:rFonts w:asciiTheme="minorHAnsi" w:hAnsiTheme="minorHAnsi" w:cstheme="minorHAnsi"/>
          <w:color w:val="000000"/>
          <w:sz w:val="22"/>
          <w:szCs w:val="22"/>
        </w:rPr>
        <w:t xml:space="preserve"> utilisent davantage de tests standardisés, </w:t>
      </w:r>
      <w:r w:rsidRPr="00C0572E">
        <w:rPr>
          <w:rFonts w:asciiTheme="minorHAnsi" w:hAnsiTheme="minorHAnsi" w:cstheme="minorHAnsi"/>
          <w:color w:val="000000"/>
          <w:sz w:val="22"/>
          <w:szCs w:val="22"/>
        </w:rPr>
        <w:lastRenderedPageBreak/>
        <w:t xml:space="preserve">tandis que les kinésithérapeutes en </w:t>
      </w:r>
      <w:r w:rsidR="006E2442">
        <w:rPr>
          <w:rFonts w:asciiTheme="minorHAnsi" w:hAnsiTheme="minorHAnsi" w:cstheme="minorHAnsi"/>
          <w:color w:val="000000"/>
          <w:sz w:val="22"/>
          <w:szCs w:val="22"/>
        </w:rPr>
        <w:t xml:space="preserve">cabinet </w:t>
      </w:r>
      <w:r w:rsidRPr="00C0572E">
        <w:rPr>
          <w:rFonts w:asciiTheme="minorHAnsi" w:hAnsiTheme="minorHAnsi" w:cstheme="minorHAnsi"/>
          <w:color w:val="000000"/>
          <w:sz w:val="22"/>
          <w:szCs w:val="22"/>
        </w:rPr>
        <w:t xml:space="preserve">libéral privilégient des tests plus accessibles et rapides </w:t>
      </w:r>
      <w:r w:rsidRPr="00C0572E">
        <w:rPr>
          <w:rFonts w:asciiTheme="minorHAnsi" w:hAnsiTheme="minorHAnsi" w:cstheme="minorHAnsi"/>
          <w:color w:val="000000"/>
          <w:sz w:val="22"/>
          <w:szCs w:val="22"/>
        </w:rPr>
        <w:fldChar w:fldCharType="begin"/>
      </w:r>
      <w:r w:rsidRPr="00C0572E">
        <w:rPr>
          <w:rFonts w:asciiTheme="minorHAnsi" w:hAnsiTheme="minorHAnsi" w:cstheme="minorHAnsi"/>
          <w:color w:val="000000"/>
          <w:sz w:val="22"/>
          <w:szCs w:val="22"/>
        </w:rPr>
        <w:instrText xml:space="preserve"> ADDIN ZOTERO_ITEM CSL_CITATION {"citationID":"M6n7f7hI","properties":{"formattedCitation":"(Ciss\\uc0\\u233{} et al., 2023)","plainCitation":"(Cissé et al., 2023)","noteIndex":0},"citationItems":[{"id":236,"uris":["http://zotero.org/users/10583480/items/RJE9FMKH"],"itemData":{"id":236,"type":"article-journal","abstract":"Introduction\nLes chutes du sujet âgé sont un problème majeur de santé publique. Elles entraînent la mort de plus de 9000 personnes chaque année [1], favorisent la dépendance et l’admission en EHPAD, et génèrent 2 milliards d’euros de coûts directs hospitaliers. Le gouvernement veut réduire de 20 % les chutes graves ou mortelles d’ici 2024 [2]. Des interventions de prévention efficaces sont décrites dans la littérature [3], [4], mais leur implémentation en population générale semble problématique. Dans ce contexte, nous avons envisagé la création d’un réseau de santé dédié à la prévention des chutes, structuré autour des masseurs-kinésithérapeutes (MK). Cette étude avait pour objectif de faire l’état des lieux des pratiques des MK dans ce domaine et d’évaluer leur appétence à intégrer ce réseau de santé et à participer à des actions de prévention des chutes.\nMatériel et méthodes\nUne étude observationnelle descriptive avec un recueil de données transversal a été menée en mai 2022. Un questionnaire auto-administré en ligne a été adressé aux 120 MK libéraux exerçant sur la commune de Pessac. Le questionnaire a été diffusé sur les réseaux sociaux, par sms et par mail, durant 4 semaines. Il comportait 15 questions (temps de réponse estimé&lt;3minutes). Nous avons réalisé une analyse statistique descriptive des données et déterminé des proportions de participation sous hypothèse du biais maximum.\nRésultats\nAu total, 28 MK ont participé à l’étude, soit un taux de participation de 23 %. Parmi eux, 46 % déclaraient avoir déjà pris en charge un patient dans le cadre préventif des chutes, 32 % déclaraient accorder une attention particulière et évaluer le risque de chute systématiquement. Une majorité des MK (61 %) se disaient intéressés à réaliser le dépistage du risque de chute en population générale et 54 % à assurer des prises en charge personnalisées individuelles ou de groupes de prévention des chutes. Sous l’hypothèse du biais maximum, cela représentait respectivement 14 % et 12 % des MK de Pessac. 50 % des répondants étaient favorables à intégrer un réseau de santé dédié à la prévention des chutes, soit 12 % des MK sous l’hypothèse du biais maximum.\nDiscussion/conclusion\nNotre étude met en évidence que des MK sont déjà impliqués dans le parcours préventif des chutes. Les MK qui ont répondu à l’enquête montrent une appétence pour ce domaine. Pour implanter ce réseau de santé, d’autres actions locales doivent être maintenant menées liées à l’accès direct et/ou à l’implication des médecins prescripteurs [5].","collection-title":"Journées francophones de Kinésithérapie 2023","container-title":"Kinésithérapie, la Revue","DOI":"10.1016/j.kine.2022.12.011","ISSN":"1779-0123","issue":"255","journalAbbreviation":"Kinésithérapie, la Revue","page":"7","source":"ScienceDirect","title":"État des lieux des pratiques des kinésithérapeutes en matière de prévention des chutes du sujet âgé de plus de 65 ans et évaluation de leur appétence à intégrer un réseau de santé dédié à la prévention : enquête réalisée auprès des praticiens de la ville de Pessac","title-short":"État des lieux des pratiques des kinésithérapeutes en matière de prévention des chutes du sujet âgé de plus de 65 ans et évaluation de leur appétence à intégrer un réseau de santé dédié à la prévention","volume":"23","author":[{"family":"Cissé","given":"Boucari"},{"family":"Peres-Bouchet","given":"Karine"},{"family":"Duclos","given":"Noémie"}],"issued":{"date-parts":[["2023",3,1]]}}}],"schema":"https://github.com/citation-style-language/schema/raw/master/csl-citation.json"} </w:instrText>
      </w:r>
      <w:r w:rsidRPr="00C0572E">
        <w:rPr>
          <w:rFonts w:asciiTheme="minorHAnsi" w:hAnsiTheme="minorHAnsi" w:cstheme="minorHAnsi"/>
          <w:color w:val="000000"/>
          <w:sz w:val="22"/>
          <w:szCs w:val="22"/>
        </w:rPr>
        <w:fldChar w:fldCharType="separate"/>
      </w:r>
      <w:r w:rsidRPr="00C0572E">
        <w:rPr>
          <w:rFonts w:asciiTheme="minorHAnsi" w:hAnsiTheme="minorHAnsi" w:cstheme="minorHAnsi"/>
          <w:color w:val="000000"/>
          <w:sz w:val="22"/>
        </w:rPr>
        <w:t>(Cissé et al., 2023)</w:t>
      </w:r>
      <w:r w:rsidRPr="00C0572E">
        <w:rPr>
          <w:rFonts w:asciiTheme="minorHAnsi" w:hAnsiTheme="minorHAnsi" w:cstheme="minorHAnsi"/>
          <w:color w:val="000000"/>
          <w:sz w:val="22"/>
          <w:szCs w:val="22"/>
        </w:rPr>
        <w:fldChar w:fldCharType="end"/>
      </w:r>
      <w:r w:rsidRPr="00C0572E">
        <w:rPr>
          <w:rFonts w:asciiTheme="minorHAnsi" w:hAnsiTheme="minorHAnsi" w:cstheme="minorHAnsi"/>
          <w:color w:val="000000"/>
          <w:sz w:val="22"/>
          <w:szCs w:val="22"/>
        </w:rPr>
        <w:t xml:space="preserve">. Enfin, un déficit de formation spécifique sur l’évaluation de l’équilibre pourrait limiter l’usage de certains tests, bien que leur pertinence soit avérée </w:t>
      </w:r>
      <w:r w:rsidRPr="00C0572E">
        <w:rPr>
          <w:rFonts w:asciiTheme="minorHAnsi" w:hAnsiTheme="minorHAnsi" w:cstheme="minorHAnsi"/>
          <w:color w:val="000000"/>
          <w:sz w:val="22"/>
          <w:szCs w:val="22"/>
        </w:rPr>
        <w:fldChar w:fldCharType="begin"/>
      </w:r>
      <w:r w:rsidR="00FB2E3C">
        <w:rPr>
          <w:rFonts w:asciiTheme="minorHAnsi" w:hAnsiTheme="minorHAnsi" w:cstheme="minorHAnsi"/>
          <w:color w:val="000000"/>
          <w:sz w:val="22"/>
          <w:szCs w:val="22"/>
        </w:rPr>
        <w:instrText xml:space="preserve"> ADDIN ZOTERO_ITEM CSL_CITATION {"citationID":"wiadpO3i","properties":{"formattedCitation":"(Sibley et al., 2011b)","plainCitation":"(Sibley et al., 2011b)","noteIndex":0},"citationItems":[{"id":192,"uris":["http://zotero.org/users/10583480/items/EF2PY26V"],"itemData":{"id":192,"type":"article-journal","abstract":"Background\nBalance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sidRPr="00C0572E">
        <w:rPr>
          <w:rFonts w:asciiTheme="minorHAnsi" w:hAnsiTheme="minorHAnsi" w:cstheme="minorHAnsi"/>
          <w:color w:val="000000"/>
          <w:sz w:val="22"/>
          <w:szCs w:val="22"/>
        </w:rPr>
        <w:fldChar w:fldCharType="separate"/>
      </w:r>
      <w:r w:rsidR="00D27E0A">
        <w:rPr>
          <w:rFonts w:asciiTheme="minorHAnsi" w:hAnsiTheme="minorHAnsi" w:cstheme="minorHAnsi"/>
          <w:noProof/>
          <w:color w:val="000000"/>
          <w:sz w:val="22"/>
          <w:szCs w:val="22"/>
        </w:rPr>
        <w:t>(Sibley et al., 2011b)</w:t>
      </w:r>
      <w:r w:rsidRPr="00C0572E">
        <w:rPr>
          <w:rFonts w:asciiTheme="minorHAnsi" w:hAnsiTheme="minorHAnsi" w:cstheme="minorHAnsi"/>
          <w:color w:val="000000"/>
          <w:sz w:val="22"/>
          <w:szCs w:val="22"/>
        </w:rPr>
        <w:fldChar w:fldCharType="end"/>
      </w:r>
      <w:r w:rsidRPr="00C0572E">
        <w:rPr>
          <w:rFonts w:asciiTheme="minorHAnsi" w:hAnsiTheme="minorHAnsi" w:cstheme="minorHAnsi"/>
          <w:color w:val="000000"/>
          <w:sz w:val="22"/>
          <w:szCs w:val="22"/>
        </w:rPr>
        <w:t>. L’analyse de ces éléments permettrait de se rendre compte des pratiques existantes et d’identifier les raisons de ces choix.</w:t>
      </w:r>
    </w:p>
    <w:p w14:paraId="5E537A03" w14:textId="77777777" w:rsidR="00FB2E3C" w:rsidRDefault="00FB2E3C" w:rsidP="001C18E0">
      <w:pPr>
        <w:pStyle w:val="NormalWeb"/>
        <w:spacing w:line="360" w:lineRule="auto"/>
        <w:jc w:val="both"/>
        <w:rPr>
          <w:rFonts w:asciiTheme="minorHAnsi" w:hAnsiTheme="minorHAnsi" w:cstheme="minorHAnsi"/>
          <w:color w:val="000000"/>
          <w:sz w:val="22"/>
          <w:szCs w:val="22"/>
        </w:rPr>
      </w:pPr>
    </w:p>
    <w:p w14:paraId="2B08F3CF"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2F5DE11E"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71D15015"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51805189"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377B210E"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6B1D5FAA"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26832366" w14:textId="77777777" w:rsidR="00CF76AF" w:rsidRDefault="00CF76AF" w:rsidP="001C18E0">
      <w:pPr>
        <w:pStyle w:val="NormalWeb"/>
        <w:spacing w:line="360" w:lineRule="auto"/>
        <w:jc w:val="both"/>
        <w:rPr>
          <w:rFonts w:asciiTheme="minorHAnsi" w:hAnsiTheme="minorHAnsi" w:cstheme="minorHAnsi"/>
          <w:color w:val="000000"/>
          <w:sz w:val="22"/>
          <w:szCs w:val="22"/>
        </w:rPr>
      </w:pPr>
    </w:p>
    <w:p w14:paraId="493E9A86" w14:textId="77777777" w:rsidR="00CF76AF" w:rsidRDefault="00CF76AF" w:rsidP="001C18E0">
      <w:pPr>
        <w:pStyle w:val="NormalWeb"/>
        <w:spacing w:line="360" w:lineRule="auto"/>
        <w:jc w:val="both"/>
        <w:rPr>
          <w:rFonts w:asciiTheme="minorHAnsi" w:hAnsiTheme="minorHAnsi" w:cstheme="minorHAnsi"/>
          <w:color w:val="000000"/>
          <w:sz w:val="22"/>
          <w:szCs w:val="22"/>
        </w:rPr>
      </w:pPr>
    </w:p>
    <w:p w14:paraId="77FC6EBA" w14:textId="77777777" w:rsidR="00CF76AF" w:rsidRDefault="00CF76AF" w:rsidP="001C18E0">
      <w:pPr>
        <w:pStyle w:val="NormalWeb"/>
        <w:spacing w:line="360" w:lineRule="auto"/>
        <w:jc w:val="both"/>
        <w:rPr>
          <w:rFonts w:asciiTheme="minorHAnsi" w:hAnsiTheme="minorHAnsi" w:cstheme="minorHAnsi"/>
          <w:color w:val="000000"/>
          <w:sz w:val="22"/>
          <w:szCs w:val="22"/>
        </w:rPr>
      </w:pPr>
    </w:p>
    <w:p w14:paraId="2FDEE616" w14:textId="77777777" w:rsidR="00CF76AF" w:rsidRDefault="00CF76AF" w:rsidP="001C18E0">
      <w:pPr>
        <w:pStyle w:val="NormalWeb"/>
        <w:spacing w:line="360" w:lineRule="auto"/>
        <w:jc w:val="both"/>
        <w:rPr>
          <w:rFonts w:asciiTheme="minorHAnsi" w:hAnsiTheme="minorHAnsi" w:cstheme="minorHAnsi"/>
          <w:color w:val="000000"/>
          <w:sz w:val="22"/>
          <w:szCs w:val="22"/>
        </w:rPr>
      </w:pPr>
    </w:p>
    <w:p w14:paraId="148CAD3C" w14:textId="77777777" w:rsidR="00CF76AF" w:rsidRDefault="00CF76AF" w:rsidP="001C18E0">
      <w:pPr>
        <w:pStyle w:val="NormalWeb"/>
        <w:spacing w:line="360" w:lineRule="auto"/>
        <w:jc w:val="both"/>
        <w:rPr>
          <w:rFonts w:asciiTheme="minorHAnsi" w:hAnsiTheme="minorHAnsi" w:cstheme="minorHAnsi"/>
          <w:color w:val="000000"/>
          <w:sz w:val="22"/>
          <w:szCs w:val="22"/>
        </w:rPr>
      </w:pPr>
    </w:p>
    <w:p w14:paraId="140F935A" w14:textId="77777777" w:rsidR="008E0722" w:rsidRDefault="008E0722" w:rsidP="001C18E0">
      <w:pPr>
        <w:pStyle w:val="NormalWeb"/>
        <w:spacing w:line="360" w:lineRule="auto"/>
        <w:jc w:val="both"/>
        <w:rPr>
          <w:rFonts w:asciiTheme="minorHAnsi" w:hAnsiTheme="minorHAnsi" w:cstheme="minorHAnsi"/>
          <w:color w:val="000000"/>
          <w:sz w:val="22"/>
          <w:szCs w:val="22"/>
        </w:rPr>
      </w:pPr>
    </w:p>
    <w:p w14:paraId="35BE61B4" w14:textId="77777777" w:rsidR="004E0E4E" w:rsidRDefault="004E0E4E" w:rsidP="001C18E0">
      <w:pPr>
        <w:pStyle w:val="NormalWeb"/>
        <w:spacing w:line="360" w:lineRule="auto"/>
        <w:jc w:val="both"/>
        <w:rPr>
          <w:rFonts w:asciiTheme="minorHAnsi" w:hAnsiTheme="minorHAnsi" w:cstheme="minorHAnsi"/>
          <w:color w:val="000000"/>
          <w:sz w:val="22"/>
          <w:szCs w:val="22"/>
        </w:rPr>
      </w:pPr>
    </w:p>
    <w:p w14:paraId="7C1A0BA5" w14:textId="77777777" w:rsidR="004E0E4E" w:rsidRDefault="004E0E4E" w:rsidP="001C18E0">
      <w:pPr>
        <w:pStyle w:val="NormalWeb"/>
        <w:spacing w:line="360" w:lineRule="auto"/>
        <w:jc w:val="both"/>
        <w:rPr>
          <w:rFonts w:asciiTheme="minorHAnsi" w:hAnsiTheme="minorHAnsi" w:cstheme="minorHAnsi"/>
          <w:color w:val="000000"/>
          <w:sz w:val="22"/>
          <w:szCs w:val="22"/>
        </w:rPr>
      </w:pPr>
    </w:p>
    <w:p w14:paraId="0FF0C422" w14:textId="77777777" w:rsidR="004E0E4E" w:rsidRPr="00C0572E" w:rsidRDefault="004E0E4E" w:rsidP="001C18E0">
      <w:pPr>
        <w:pStyle w:val="NormalWeb"/>
        <w:spacing w:line="360" w:lineRule="auto"/>
        <w:jc w:val="both"/>
        <w:rPr>
          <w:rFonts w:asciiTheme="minorHAnsi" w:hAnsiTheme="minorHAnsi" w:cstheme="minorHAnsi"/>
          <w:color w:val="000000"/>
          <w:sz w:val="22"/>
          <w:szCs w:val="22"/>
        </w:rPr>
      </w:pPr>
    </w:p>
    <w:p w14:paraId="7175F325" w14:textId="77777777" w:rsidR="00010CF6" w:rsidRPr="00010CF6" w:rsidRDefault="00010CF6" w:rsidP="001C18E0">
      <w:pPr>
        <w:pStyle w:val="Titre1"/>
        <w:spacing w:line="360" w:lineRule="auto"/>
        <w:jc w:val="both"/>
      </w:pPr>
      <w:bookmarkStart w:id="25" w:name="_Toc197600543"/>
      <w:bookmarkStart w:id="26" w:name="_Toc221704621"/>
      <w:r w:rsidRPr="00010CF6">
        <w:lastRenderedPageBreak/>
        <w:t>Méthodologie de recherche</w:t>
      </w:r>
      <w:bookmarkEnd w:id="25"/>
      <w:bookmarkEnd w:id="26"/>
      <w:r w:rsidRPr="00010CF6">
        <w:t xml:space="preserve"> </w:t>
      </w:r>
    </w:p>
    <w:p w14:paraId="54FDCBF9" w14:textId="77777777" w:rsidR="00010CF6" w:rsidRPr="00C0572E" w:rsidRDefault="00010CF6" w:rsidP="001C18E0">
      <w:pPr>
        <w:pStyle w:val="Titre2"/>
        <w:spacing w:line="360" w:lineRule="auto"/>
        <w:jc w:val="both"/>
        <w:rPr>
          <w:rFonts w:cstheme="minorHAnsi"/>
        </w:rPr>
      </w:pPr>
      <w:bookmarkStart w:id="27" w:name="_Toc197600544"/>
      <w:bookmarkStart w:id="28" w:name="_Toc221704622"/>
      <w:r w:rsidRPr="00C0572E">
        <w:rPr>
          <w:rFonts w:cstheme="minorHAnsi"/>
        </w:rPr>
        <w:t>Les principes du questionnaire</w:t>
      </w:r>
      <w:bookmarkEnd w:id="27"/>
      <w:bookmarkEnd w:id="28"/>
    </w:p>
    <w:p w14:paraId="27870120" w14:textId="77777777" w:rsidR="00010CF6" w:rsidRPr="00C0572E" w:rsidRDefault="00010CF6" w:rsidP="001C18E0">
      <w:pPr>
        <w:pStyle w:val="Titre3"/>
        <w:spacing w:line="360" w:lineRule="auto"/>
        <w:jc w:val="both"/>
        <w:rPr>
          <w:rFonts w:cstheme="minorHAnsi"/>
        </w:rPr>
      </w:pPr>
      <w:bookmarkStart w:id="29" w:name="_Toc197600545"/>
      <w:bookmarkStart w:id="30" w:name="_Toc221704623"/>
      <w:r w:rsidRPr="00C0572E">
        <w:rPr>
          <w:rFonts w:cstheme="minorHAnsi"/>
        </w:rPr>
        <w:t>Objectifs</w:t>
      </w:r>
      <w:bookmarkEnd w:id="29"/>
      <w:bookmarkEnd w:id="30"/>
      <w:r w:rsidRPr="00C0572E">
        <w:rPr>
          <w:rFonts w:cstheme="minorHAnsi"/>
        </w:rPr>
        <w:t xml:space="preserve"> </w:t>
      </w:r>
    </w:p>
    <w:p w14:paraId="0142F129" w14:textId="1445D8A5" w:rsidR="00010CF6" w:rsidRPr="00C0572E" w:rsidRDefault="00010CF6" w:rsidP="001C18E0">
      <w:pPr>
        <w:spacing w:line="360" w:lineRule="auto"/>
        <w:ind w:firstLine="397"/>
        <w:jc w:val="both"/>
        <w:rPr>
          <w:rFonts w:cstheme="minorHAnsi"/>
        </w:rPr>
      </w:pPr>
      <w:r w:rsidRPr="00C0572E">
        <w:rPr>
          <w:rFonts w:cstheme="minorHAnsi"/>
        </w:rPr>
        <w:t xml:space="preserve">L’intérêt du questionnaire est qu’il permet de collecter une grande quantité d’informations, qu’elles soient subjectives ou factuelles, auprès d’une population importante </w:t>
      </w:r>
      <w:r w:rsidRPr="00C0572E">
        <w:rPr>
          <w:rFonts w:cstheme="minorHAnsi"/>
        </w:rPr>
        <w:fldChar w:fldCharType="begin"/>
      </w:r>
      <w:r w:rsidRPr="00C0572E">
        <w:rPr>
          <w:rFonts w:cstheme="minorHAnsi"/>
        </w:rPr>
        <w:instrText xml:space="preserve"> ADDIN ZOTERO_ITEM CSL_CITATION {"citationID":"ldNjF0Nm","properties":{"formattedCitation":"(Parizot, 2012)","plainCitation":"(Parizot, 2012)","noteIndex":0},"citationItems":[{"id":403,"uris":["http://zotero.org/users/10583480/items/5WAWXDGN"],"itemData":{"id":403,"type":"chapter","container-title":"L'enquête sociologique","language":"fr","note":"ISSN: 0291-0489\nsection: Sociologie\nDOI: 10.3917/puf.paug.2012.01.0093","page":"93-113","publisher":"Presses Universitaires de France","source":"shs.cairn.info","title":"5 – L’enquête par questionnaire","URL":"https://shs.cairn.info/l-enquete-sociologique--9782130608738-page-93","author":[{"family":"Parizot","given":"Isabelle"}],"accessed":{"date-parts":[["2025",3,5]]},"issued":{"date-parts":[["2012"]]}}}],"schema":"https://github.com/citation-style-language/schema/raw/master/csl-citation.json"} </w:instrText>
      </w:r>
      <w:r w:rsidRPr="00C0572E">
        <w:rPr>
          <w:rFonts w:cstheme="minorHAnsi"/>
        </w:rPr>
        <w:fldChar w:fldCharType="separate"/>
      </w:r>
      <w:r w:rsidRPr="00C0572E">
        <w:rPr>
          <w:rFonts w:cstheme="minorHAnsi"/>
          <w:noProof/>
        </w:rPr>
        <w:t>(Parizot, 2012)</w:t>
      </w:r>
      <w:r w:rsidRPr="00C0572E">
        <w:rPr>
          <w:rFonts w:cstheme="minorHAnsi"/>
        </w:rPr>
        <w:fldChar w:fldCharType="end"/>
      </w:r>
      <w:r w:rsidRPr="00C0572E">
        <w:rPr>
          <w:rFonts w:cstheme="minorHAnsi"/>
        </w:rPr>
        <w:t xml:space="preserve">. L’analyse statistique des données collectées permet de répondre à une problématique et de confirmer ou d’infirmer les hypothèses définies préalablement </w:t>
      </w:r>
      <w:r w:rsidRPr="00C0572E">
        <w:rPr>
          <w:rFonts w:cstheme="minorHAnsi"/>
        </w:rPr>
        <w:fldChar w:fldCharType="begin"/>
      </w:r>
      <w:r w:rsidRPr="00C0572E">
        <w:rPr>
          <w:rFonts w:cstheme="minorHAnsi"/>
        </w:rPr>
        <w:instrText xml:space="preserve"> ADDIN ZOTERO_ITEM CSL_CITATION {"citationID":"13P4kx83","properties":{"formattedCitation":"(Ghiglione &amp; Matalon, 1998)","plainCitation":"(Ghiglione &amp; Matalon, 1998)","noteIndex":0},"citationItems":[{"id":407,"uris":["http://zotero.org/users/10583480/items/JYYVA7WC"],"itemData":{"id":407,"type":"book","language":"fr","title":"Les enquêtes sociologiques","author":[{"family":"Ghiglione","given":""},{"family":"Matalon","given":""}],"accessed":{"date-parts":[["2025",3,5]]},"issued":{"date-parts":[["1998"]]}}}],"schema":"https://github.com/citation-style-language/schema/raw/master/csl-citation.json"} </w:instrText>
      </w:r>
      <w:r w:rsidRPr="00C0572E">
        <w:rPr>
          <w:rFonts w:cstheme="minorHAnsi"/>
        </w:rPr>
        <w:fldChar w:fldCharType="separate"/>
      </w:r>
      <w:r w:rsidRPr="00C0572E">
        <w:rPr>
          <w:rFonts w:cstheme="minorHAnsi"/>
          <w:noProof/>
        </w:rPr>
        <w:t>(Ghiglione &amp; Matalon, 1998)</w:t>
      </w:r>
      <w:r w:rsidRPr="00C0572E">
        <w:rPr>
          <w:rFonts w:cstheme="minorHAnsi"/>
        </w:rPr>
        <w:fldChar w:fldCharType="end"/>
      </w:r>
      <w:r w:rsidRPr="00C0572E">
        <w:rPr>
          <w:rFonts w:cstheme="minorHAnsi"/>
        </w:rPr>
        <w:t xml:space="preserve">. L’utilisation de la méthode par questionnaire est aussi plus adaptée </w:t>
      </w:r>
      <w:r>
        <w:rPr>
          <w:rFonts w:cstheme="minorHAnsi"/>
        </w:rPr>
        <w:t>pour l’échantillon de notre étude,</w:t>
      </w:r>
      <w:r w:rsidRPr="00C0572E">
        <w:rPr>
          <w:rFonts w:cstheme="minorHAnsi"/>
        </w:rPr>
        <w:t xml:space="preserve"> et permet donc d’être représentatif de la population </w:t>
      </w:r>
      <w:r w:rsidRPr="00C0572E">
        <w:rPr>
          <w:rFonts w:cstheme="minorHAnsi"/>
        </w:rPr>
        <w:fldChar w:fldCharType="begin"/>
      </w:r>
      <w:r w:rsidRPr="00C0572E">
        <w:rPr>
          <w:rFonts w:cstheme="minorHAnsi"/>
        </w:rPr>
        <w:instrText xml:space="preserve"> ADDIN ZOTERO_ITEM CSL_CITATION {"citationID":"bMuXqNQi","properties":{"formattedCitation":"(Firdion, 2010)","plainCitation":"(Firdion, 2010)","noteIndex":0},"citationItems":[{"id":409,"uris":["http://zotero.org/users/10583480/items/4QVT3NNJ"],"itemData":{"id":409,"type":"article-journal","container-title":"L'Enquête Sociologique","journalAbbreviation":"L'Enquête Sociologique","page":"72-92","source":"ResearchGate","title":"Construire un échantillon","author":[{"family":"Firdion","given":"Jean-Marie"}],"issued":{"date-parts":[["2010",1,1]]}}}],"schema":"https://github.com/citation-style-language/schema/raw/master/csl-citation.json"} </w:instrText>
      </w:r>
      <w:r w:rsidRPr="00C0572E">
        <w:rPr>
          <w:rFonts w:cstheme="minorHAnsi"/>
        </w:rPr>
        <w:fldChar w:fldCharType="separate"/>
      </w:r>
      <w:r w:rsidRPr="00C0572E">
        <w:rPr>
          <w:rFonts w:cstheme="minorHAnsi"/>
          <w:noProof/>
        </w:rPr>
        <w:t>(Firdion, 2010)</w:t>
      </w:r>
      <w:r w:rsidRPr="00C0572E">
        <w:rPr>
          <w:rFonts w:cstheme="minorHAnsi"/>
        </w:rPr>
        <w:fldChar w:fldCharType="end"/>
      </w:r>
      <w:r w:rsidRPr="00C0572E">
        <w:rPr>
          <w:rFonts w:cstheme="minorHAnsi"/>
        </w:rPr>
        <w:t>.</w:t>
      </w:r>
      <w:r>
        <w:rPr>
          <w:rFonts w:cstheme="minorHAnsi"/>
        </w:rPr>
        <w:t xml:space="preserve"> </w:t>
      </w:r>
      <w:r w:rsidRPr="00C0572E">
        <w:rPr>
          <w:rFonts w:cstheme="minorHAnsi"/>
        </w:rPr>
        <w:t xml:space="preserve">Dans notre cas, le questionnaire </w:t>
      </w:r>
      <w:r w:rsidR="002C351D">
        <w:rPr>
          <w:rFonts w:cstheme="minorHAnsi"/>
        </w:rPr>
        <w:t xml:space="preserve">a permis </w:t>
      </w:r>
      <w:r w:rsidR="006E2442">
        <w:rPr>
          <w:rFonts w:cstheme="minorHAnsi"/>
        </w:rPr>
        <w:t>d’établir un état des lieux sur</w:t>
      </w:r>
      <w:r w:rsidRPr="00C0572E">
        <w:rPr>
          <w:rFonts w:cstheme="minorHAnsi"/>
        </w:rPr>
        <w:t xml:space="preserve"> </w:t>
      </w:r>
      <w:r w:rsidR="006E2442">
        <w:rPr>
          <w:rFonts w:cstheme="minorHAnsi"/>
        </w:rPr>
        <w:t xml:space="preserve">la pratique des masseurs-kinésithérapeutes français </w:t>
      </w:r>
      <w:r w:rsidRPr="00C0572E">
        <w:rPr>
          <w:rFonts w:cstheme="minorHAnsi"/>
        </w:rPr>
        <w:t>et de répondre à la problématique suivante</w:t>
      </w:r>
      <w:r>
        <w:rPr>
          <w:rFonts w:cstheme="minorHAnsi"/>
        </w:rPr>
        <w:t> </w:t>
      </w:r>
      <w:r w:rsidRPr="00C0572E">
        <w:rPr>
          <w:rFonts w:cstheme="minorHAnsi"/>
        </w:rPr>
        <w:t xml:space="preserve">: </w:t>
      </w:r>
      <w:r w:rsidRPr="00C0572E">
        <w:rPr>
          <w:rFonts w:cstheme="minorHAnsi"/>
          <w:b/>
          <w:bCs/>
        </w:rPr>
        <w:t>Quels sont les tests utilisés préférentiellement par les kinésithérapeutes français pour évaluer l’équilibre d’une personne âgée et pourquoi les choisissent-ils préférentiellement</w:t>
      </w:r>
      <w:r>
        <w:rPr>
          <w:rFonts w:cstheme="minorHAnsi"/>
          <w:b/>
          <w:bCs/>
        </w:rPr>
        <w:t> </w:t>
      </w:r>
      <w:r w:rsidRPr="00C0572E">
        <w:rPr>
          <w:rFonts w:cstheme="minorHAnsi"/>
          <w:b/>
          <w:bCs/>
        </w:rPr>
        <w:t xml:space="preserve">? </w:t>
      </w:r>
    </w:p>
    <w:p w14:paraId="002A5EC8" w14:textId="77777777" w:rsidR="00010CF6" w:rsidRPr="00C0572E" w:rsidRDefault="00010CF6" w:rsidP="001C18E0">
      <w:pPr>
        <w:pStyle w:val="Titre3"/>
        <w:spacing w:line="360" w:lineRule="auto"/>
        <w:jc w:val="both"/>
        <w:rPr>
          <w:rFonts w:cstheme="minorHAnsi"/>
        </w:rPr>
      </w:pPr>
      <w:bookmarkStart w:id="31" w:name="_Toc197600546"/>
      <w:bookmarkStart w:id="32" w:name="_Toc221704624"/>
      <w:r w:rsidRPr="00C0572E">
        <w:rPr>
          <w:rFonts w:cstheme="minorHAnsi"/>
        </w:rPr>
        <w:t>Les étapes</w:t>
      </w:r>
      <w:bookmarkEnd w:id="31"/>
      <w:bookmarkEnd w:id="32"/>
      <w:r w:rsidRPr="00C0572E">
        <w:rPr>
          <w:rFonts w:cstheme="minorHAnsi"/>
        </w:rPr>
        <w:t xml:space="preserve"> </w:t>
      </w:r>
    </w:p>
    <w:p w14:paraId="7482CA90" w14:textId="77777777" w:rsidR="00010CF6" w:rsidRPr="00C0572E" w:rsidRDefault="00010CF6" w:rsidP="001C18E0">
      <w:pPr>
        <w:spacing w:line="360" w:lineRule="auto"/>
        <w:ind w:firstLine="360"/>
        <w:jc w:val="both"/>
        <w:rPr>
          <w:rFonts w:cstheme="minorHAnsi"/>
        </w:rPr>
      </w:pPr>
      <w:r w:rsidRPr="00C0572E">
        <w:rPr>
          <w:rFonts w:cstheme="minorHAnsi"/>
        </w:rPr>
        <w:t xml:space="preserve">Le questionnaire est un outil de recherche qui doit être standardisé et qui suit une méthodologie rigoureuse </w:t>
      </w:r>
      <w:r w:rsidRPr="00C0572E">
        <w:rPr>
          <w:rFonts w:cstheme="minorHAnsi"/>
        </w:rPr>
        <w:fldChar w:fldCharType="begin"/>
      </w:r>
      <w:r w:rsidRPr="00C0572E">
        <w:rPr>
          <w:rFonts w:cstheme="minorHAnsi"/>
        </w:rPr>
        <w:instrText xml:space="preserve"> ADDIN ZOTERO_ITEM CSL_CITATION {"citationID":"AkBRkAAW","properties":{"formattedCitation":"(Zimba &amp; Gasparyan, 2023)","plainCitation":"(Zimba &amp; Gasparyan, 2023)","noteIndex":0},"citationItems":[{"id":415,"uris":["http://zotero.org/users/10583480/items/XGZTIKMA"],"itemData":{"id":415,"type":"article-journal","abstract":"Survey studies have become instrumental in contributing to the evidence accumulation in rapidly developing medical disciplines such as medical education, public health, and nursing. The global medical community has seen an upsurge of surveys covering the experience and perceptions of health specialists, patients, and public representatives in the peri-pandemic coronavirus disease 2019 period. Currently, surveys can play a central role in increasing research activities in non-mainstream science countries where limited research funding and other barriers hinder science growth. Planning surveys starts with overviewing related reviews and other publications which may help to design questionnaires with comprehensive coverage of all related points. The validity and reliability of questionnaires rely on input from experts and potential responders who may suggest pertinent revisions to prepare forms with attractive designs, easily understandable questions, and correctly ordered points that appeal to target respondents. Currently available numerous online platforms such as Google Forms and Survey Monkey enable moderating online surveys and collecting responses from a large number of responders. Online surveys benefit from disseminating questionnaires via social media and other online platforms which facilitate the survey internationalization and participation of large groups of responders. Survey reporting can be arranged in line with related recommendations and reporting standards all of which have their strengths and limitations. The current article overviews available recommendations and presents pointers on designing, conducting, and reporting surveys.","container-title":"Journal of Korean Medical Science","DOI":"10.3346/jkms.2023.38.e403","ISSN":"1011-8934","issue":"48","journalAbbreviation":"J Korean Med Sci","note":"PMID: 38084027\nPMCID: PMC10713437","page":"e403","source":"PubMed Central","title":"Designing, Conducting, and Reporting Survey Studies: A Primer for Researchers","title-short":"Designing, Conducting, and Reporting Survey Studies","volume":"38","author":[{"family":"Zimba","given":"Olena"},{"family":"Gasparyan","given":"Armen Yuri"}],"issued":{"date-parts":[["2023",11,24]]}}}],"schema":"https://github.com/citation-style-language/schema/raw/master/csl-citation.json"} </w:instrText>
      </w:r>
      <w:r w:rsidRPr="00C0572E">
        <w:rPr>
          <w:rFonts w:cstheme="minorHAnsi"/>
        </w:rPr>
        <w:fldChar w:fldCharType="separate"/>
      </w:r>
      <w:r w:rsidRPr="00C0572E">
        <w:rPr>
          <w:rFonts w:cstheme="minorHAnsi"/>
          <w:noProof/>
        </w:rPr>
        <w:t>(Zimba &amp; Gasparyan, 2023)</w:t>
      </w:r>
      <w:r w:rsidRPr="00C0572E">
        <w:rPr>
          <w:rFonts w:cstheme="minorHAnsi"/>
        </w:rPr>
        <w:fldChar w:fldCharType="end"/>
      </w:r>
      <w:r w:rsidRPr="00C0572E">
        <w:rPr>
          <w:rFonts w:cstheme="minorHAnsi"/>
        </w:rPr>
        <w:t>. Mucchielli a publié les étapes à suivre pour parfaire la réalisation d’un questionnaire. Elles sont au nombre de douze </w:t>
      </w:r>
      <w:r w:rsidRPr="00C0572E">
        <w:rPr>
          <w:rFonts w:cstheme="minorHAnsi"/>
        </w:rPr>
        <w:fldChar w:fldCharType="begin"/>
      </w:r>
      <w:r w:rsidRPr="00C0572E">
        <w:rPr>
          <w:rFonts w:cstheme="minorHAnsi"/>
        </w:rPr>
        <w:instrText xml:space="preserve"> ADDIN ZOTERO_ITEM CSL_CITATION {"citationID":"KRfxNIyU","properties":{"formattedCitation":"(Mucchielli, 1993)","plainCitation":"(Mucchielli, 1993)","noteIndex":0},"citationItems":[{"id":379,"uris":["http://zotero.org/users/10583480/items/BE2F3A6H"],"itemData":{"id":379,"type":"book","ISBN":"978-2-7101-0997-6","language":"fr","number-of-pages":"142","publisher":"Esf Editeur","source":"Google Books","title":"Questionnaire dans l'enquête psycho-sociale (Le)","author":[{"family":"Mucchielli","given":"Roger"}],"issued":{"date-parts":[["1993"]]}}}],"schema":"https://github.com/citation-style-language/schema/raw/master/csl-citation.json"} </w:instrText>
      </w:r>
      <w:r w:rsidRPr="00C0572E">
        <w:rPr>
          <w:rFonts w:cstheme="minorHAnsi"/>
        </w:rPr>
        <w:fldChar w:fldCharType="separate"/>
      </w:r>
      <w:r w:rsidRPr="00C0572E">
        <w:rPr>
          <w:rFonts w:cstheme="minorHAnsi"/>
          <w:noProof/>
        </w:rPr>
        <w:t>(Mucchielli, 1993)</w:t>
      </w:r>
      <w:r w:rsidRPr="00C0572E">
        <w:rPr>
          <w:rFonts w:cstheme="minorHAnsi"/>
        </w:rPr>
        <w:fldChar w:fldCharType="end"/>
      </w:r>
      <w:r>
        <w:rPr>
          <w:rFonts w:cstheme="minorHAnsi"/>
        </w:rPr>
        <w:t> </w:t>
      </w:r>
      <w:r w:rsidRPr="00C0572E">
        <w:rPr>
          <w:rFonts w:cstheme="minorHAnsi"/>
        </w:rPr>
        <w:t>:</w:t>
      </w:r>
    </w:p>
    <w:p w14:paraId="58A1EC95"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Définir l’objet et les moyens de l’enquête</w:t>
      </w:r>
    </w:p>
    <w:p w14:paraId="56FE04A4" w14:textId="73F79C8B"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Recherche bibliographique</w:t>
      </w:r>
      <w:r w:rsidR="004538E6">
        <w:rPr>
          <w:rFonts w:cstheme="minorHAnsi"/>
        </w:rPr>
        <w:t xml:space="preserve"> pour </w:t>
      </w:r>
      <w:r w:rsidRPr="00C0572E">
        <w:rPr>
          <w:rFonts w:cstheme="minorHAnsi"/>
        </w:rPr>
        <w:t>acquérir des connaissances sur le sujet</w:t>
      </w:r>
    </w:p>
    <w:p w14:paraId="6A04F2B9"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Déterminer les objectifs et formuler des hypothèses</w:t>
      </w:r>
    </w:p>
    <w:p w14:paraId="5AE099AB"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Déterminer la population</w:t>
      </w:r>
    </w:p>
    <w:p w14:paraId="757415A0"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Déterminer l’échantillon</w:t>
      </w:r>
    </w:p>
    <w:p w14:paraId="016E9988"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Rédiger le questionnaire (brouillon)</w:t>
      </w:r>
    </w:p>
    <w:p w14:paraId="0B04BA5F"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Pré-test</w:t>
      </w:r>
    </w:p>
    <w:p w14:paraId="4F6E7853"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Rédiger la version définitive du questionnaire</w:t>
      </w:r>
    </w:p>
    <w:p w14:paraId="5C0AD4C4"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Choisir le mode de diffusion</w:t>
      </w:r>
    </w:p>
    <w:p w14:paraId="269145D0"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Faire le dépouillement et coder les données</w:t>
      </w:r>
    </w:p>
    <w:p w14:paraId="2E2FF18A"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Analyser les résultats</w:t>
      </w:r>
    </w:p>
    <w:p w14:paraId="0051FEB9" w14:textId="77777777" w:rsidR="00010CF6" w:rsidRPr="00C0572E" w:rsidRDefault="00010CF6" w:rsidP="001C18E0">
      <w:pPr>
        <w:pStyle w:val="Paragraphedeliste"/>
        <w:numPr>
          <w:ilvl w:val="0"/>
          <w:numId w:val="13"/>
        </w:numPr>
        <w:spacing w:line="360" w:lineRule="auto"/>
        <w:jc w:val="both"/>
        <w:rPr>
          <w:rFonts w:cstheme="minorHAnsi"/>
        </w:rPr>
      </w:pPr>
      <w:r w:rsidRPr="00C0572E">
        <w:rPr>
          <w:rFonts w:cstheme="minorHAnsi"/>
        </w:rPr>
        <w:t>Rédiger et publier le rapport de la recherche</w:t>
      </w:r>
    </w:p>
    <w:p w14:paraId="19DC2EA1" w14:textId="77777777" w:rsidR="00010CF6" w:rsidRPr="00C0572E" w:rsidRDefault="00010CF6" w:rsidP="001C18E0">
      <w:pPr>
        <w:pStyle w:val="Titre2"/>
        <w:spacing w:line="360" w:lineRule="auto"/>
        <w:jc w:val="both"/>
        <w:rPr>
          <w:rFonts w:cstheme="minorHAnsi"/>
        </w:rPr>
      </w:pPr>
      <w:bookmarkStart w:id="33" w:name="_Toc197600547"/>
      <w:bookmarkStart w:id="34" w:name="_Toc221704625"/>
      <w:r w:rsidRPr="00C0572E">
        <w:rPr>
          <w:rFonts w:cstheme="minorHAnsi"/>
        </w:rPr>
        <w:lastRenderedPageBreak/>
        <w:t>Construction du questionnaire</w:t>
      </w:r>
      <w:bookmarkEnd w:id="33"/>
      <w:bookmarkEnd w:id="34"/>
    </w:p>
    <w:p w14:paraId="2EF5A790" w14:textId="77777777" w:rsidR="00010CF6" w:rsidRPr="00C0572E" w:rsidRDefault="00010CF6" w:rsidP="001C18E0">
      <w:pPr>
        <w:pStyle w:val="Titre3"/>
        <w:spacing w:line="360" w:lineRule="auto"/>
        <w:jc w:val="both"/>
        <w:rPr>
          <w:rFonts w:cstheme="minorHAnsi"/>
        </w:rPr>
      </w:pPr>
      <w:bookmarkStart w:id="35" w:name="_Toc197600548"/>
      <w:bookmarkStart w:id="36" w:name="_Toc221704626"/>
      <w:r w:rsidRPr="00C0572E">
        <w:rPr>
          <w:rFonts w:cstheme="minorHAnsi"/>
        </w:rPr>
        <w:t>Les composantes nécessaires</w:t>
      </w:r>
      <w:bookmarkEnd w:id="35"/>
      <w:bookmarkEnd w:id="36"/>
    </w:p>
    <w:p w14:paraId="212A0752" w14:textId="5AA4CBBB" w:rsidR="00010CF6" w:rsidRPr="00C0572E" w:rsidRDefault="00010CF6" w:rsidP="001C18E0">
      <w:pPr>
        <w:spacing w:line="360" w:lineRule="auto"/>
        <w:ind w:firstLine="397"/>
        <w:jc w:val="both"/>
        <w:rPr>
          <w:rFonts w:cstheme="minorHAnsi"/>
        </w:rPr>
      </w:pPr>
      <w:r w:rsidRPr="00C0572E">
        <w:rPr>
          <w:rFonts w:cstheme="minorHAnsi"/>
        </w:rPr>
        <w:t>Un questionnaire de recherche doit être structuré et comporter différent</w:t>
      </w:r>
      <w:r w:rsidR="004538E6">
        <w:rPr>
          <w:rFonts w:cstheme="minorHAnsi"/>
        </w:rPr>
        <w:t>es</w:t>
      </w:r>
      <w:r w:rsidRPr="00C0572E">
        <w:rPr>
          <w:rFonts w:cstheme="minorHAnsi"/>
        </w:rPr>
        <w:t xml:space="preserve"> composantes essentielles pour permettre une clarté et une fiabilité suffisante </w:t>
      </w:r>
      <w:r w:rsidRPr="00C0572E">
        <w:rPr>
          <w:rFonts w:cstheme="minorHAnsi"/>
        </w:rPr>
        <w:fldChar w:fldCharType="begin"/>
      </w:r>
      <w:r w:rsidRPr="00C0572E">
        <w:rPr>
          <w:rFonts w:cstheme="minorHAnsi"/>
        </w:rPr>
        <w:instrText xml:space="preserve"> ADDIN ZOTERO_ITEM CSL_CITATION {"citationID":"RmCvVCUD","properties":{"formattedCitation":"(Berthier, 2023)","plainCitation":"(Berthier, 2023)","noteIndex":0},"citationItems":[{"id":411,"uris":["http://zotero.org/users/10583480/items/XJMLAC33"],"itemData":{"id":411,"type":"article-journal","container-title":"Cursus","language":"fr","note":"publisher: Armand Colin","page":"98-172","source":"shs.cairn.info","title":"Chapitre 5. Le questionnaire","volume":"4","author":[{"family":"Berthier","given":"Nicole"}],"issued":{"date-parts":[["2023",10,11]]}}}],"schema":"https://github.com/citation-style-language/schema/raw/master/csl-citation.json"} </w:instrText>
      </w:r>
      <w:r w:rsidRPr="00C0572E">
        <w:rPr>
          <w:rFonts w:cstheme="minorHAnsi"/>
        </w:rPr>
        <w:fldChar w:fldCharType="separate"/>
      </w:r>
      <w:r w:rsidRPr="00C0572E">
        <w:rPr>
          <w:rFonts w:cstheme="minorHAnsi"/>
          <w:noProof/>
        </w:rPr>
        <w:t>(Berthier, 2023)</w:t>
      </w:r>
      <w:r w:rsidRPr="00C0572E">
        <w:rPr>
          <w:rFonts w:cstheme="minorHAnsi"/>
        </w:rPr>
        <w:fldChar w:fldCharType="end"/>
      </w:r>
      <w:r w:rsidRPr="00C0572E">
        <w:rPr>
          <w:rFonts w:cstheme="minorHAnsi"/>
        </w:rPr>
        <w:t xml:space="preserve">. La structuration du questionnaire requiert une vision d’ensemble permettant de définir un ordre logique des questions présentées et d’établir un lien entre chaque question </w:t>
      </w:r>
      <w:r w:rsidRPr="00C0572E">
        <w:rPr>
          <w:rFonts w:cstheme="minorHAnsi"/>
        </w:rPr>
        <w:fldChar w:fldCharType="begin"/>
      </w:r>
      <w:r w:rsidRPr="00C0572E">
        <w:rPr>
          <w:rFonts w:cstheme="minorHAnsi"/>
        </w:rPr>
        <w:instrText xml:space="preserve"> ADDIN ZOTERO_ITEM CSL_CITATION {"citationID":"wnD6chJ5","properties":{"formattedCitation":"(Fenneteau, 2015)","plainCitation":"(Fenneteau, 2015)","noteIndex":0},"citationItems":[{"id":418,"uris":["http://zotero.org/users/10583480/items/YXV5ELKH"],"itemData":{"id":418,"type":"article-journal","container-title":"Les Topos","language":"fr","note":"publisher: Dunod\nsection: Sport et société","page":"111-120","source":"shs.cairn.info","title":"Chapitre 5. La structuration et le test du questionnaire","volume":"3","author":[{"family":"Fenneteau","given":"Hervé"}],"issued":{"date-parts":[["2015"]]}}}],"schema":"https://github.com/citation-style-language/schema/raw/master/csl-citation.json"} </w:instrText>
      </w:r>
      <w:r w:rsidRPr="00C0572E">
        <w:rPr>
          <w:rFonts w:cstheme="minorHAnsi"/>
        </w:rPr>
        <w:fldChar w:fldCharType="separate"/>
      </w:r>
      <w:r w:rsidRPr="00C0572E">
        <w:rPr>
          <w:rFonts w:cstheme="minorHAnsi"/>
          <w:noProof/>
        </w:rPr>
        <w:t>(Fenneteau, 2015)</w:t>
      </w:r>
      <w:r w:rsidRPr="00C0572E">
        <w:rPr>
          <w:rFonts w:cstheme="minorHAnsi"/>
        </w:rPr>
        <w:fldChar w:fldCharType="end"/>
      </w:r>
      <w:r w:rsidRPr="00C0572E">
        <w:rPr>
          <w:rFonts w:cstheme="minorHAnsi"/>
        </w:rPr>
        <w:t>.</w:t>
      </w:r>
    </w:p>
    <w:p w14:paraId="64679D9E" w14:textId="5B9CD78D" w:rsidR="00010CF6" w:rsidRPr="00C0572E" w:rsidRDefault="00010CF6" w:rsidP="001C18E0">
      <w:pPr>
        <w:spacing w:line="360" w:lineRule="auto"/>
        <w:jc w:val="both"/>
        <w:rPr>
          <w:rFonts w:cstheme="minorHAnsi"/>
        </w:rPr>
      </w:pPr>
      <w:r w:rsidRPr="00C0572E">
        <w:rPr>
          <w:rFonts w:cstheme="minorHAnsi"/>
        </w:rPr>
        <w:t>L</w:t>
      </w:r>
      <w:r w:rsidR="002C351D">
        <w:rPr>
          <w:rFonts w:cstheme="minorHAnsi"/>
        </w:rPr>
        <w:t>’accroche du questionnaire</w:t>
      </w:r>
      <w:r w:rsidRPr="00C0572E">
        <w:rPr>
          <w:rFonts w:cstheme="minorHAnsi"/>
        </w:rPr>
        <w:t xml:space="preserve">, aussi appelée « introduction », constitue une partie essentielle du questionnaire. Elle doit présenter brièvement le contexte et les objectifs du questionnaire ainsi que toutes les informations nécessaires aux répondants </w:t>
      </w:r>
      <w:r w:rsidRPr="00C0572E">
        <w:rPr>
          <w:rFonts w:cstheme="minorHAnsi"/>
        </w:rPr>
        <w:fldChar w:fldCharType="begin"/>
      </w:r>
      <w:r w:rsidRPr="00C0572E">
        <w:rPr>
          <w:rFonts w:cstheme="minorHAnsi"/>
        </w:rPr>
        <w:instrText xml:space="preserve"> ADDIN ZOTERO_ITEM CSL_CITATION {"citationID":"Q6JgjhXq","properties":{"formattedCitation":"(Singly, 2020)","plainCitation":"(Singly, 2020)","noteIndex":0},"citationItems":[{"id":420,"uris":["http://zotero.org/users/10583480/items/R555AUSL"],"itemData":{"id":420,"type":"article-journal","container-title":"128","language":"fr","note":"publisher: Armand Colin\nsection: Sociologie","page":"23-43","source":"shs.cairn.info","title":"2. La conception du questionnaire","volume":"5","author":[{"family":"Singly","given":"François","dropping-particle":"de"}],"issued":{"date-parts":[["2020"]]}}}],"schema":"https://github.com/citation-style-language/schema/raw/master/csl-citation.json"} </w:instrText>
      </w:r>
      <w:r w:rsidRPr="00C0572E">
        <w:rPr>
          <w:rFonts w:cstheme="minorHAnsi"/>
        </w:rPr>
        <w:fldChar w:fldCharType="separate"/>
      </w:r>
      <w:r w:rsidRPr="00C0572E">
        <w:rPr>
          <w:rFonts w:cstheme="minorHAnsi"/>
          <w:noProof/>
        </w:rPr>
        <w:t>(Singly, 2020)</w:t>
      </w:r>
      <w:r w:rsidRPr="00C0572E">
        <w:rPr>
          <w:rFonts w:cstheme="minorHAnsi"/>
        </w:rPr>
        <w:fldChar w:fldCharType="end"/>
      </w:r>
      <w:r w:rsidRPr="00C0572E">
        <w:rPr>
          <w:rFonts w:cstheme="minorHAnsi"/>
        </w:rPr>
        <w:t>. Les composantes d’une introduction de questionnaire sont les suivants</w:t>
      </w:r>
      <w:r>
        <w:rPr>
          <w:rFonts w:cstheme="minorHAnsi"/>
        </w:rPr>
        <w:t> </w:t>
      </w:r>
      <w:r w:rsidRPr="00C0572E">
        <w:rPr>
          <w:rFonts w:cstheme="minorHAnsi"/>
        </w:rPr>
        <w:t>:</w:t>
      </w:r>
    </w:p>
    <w:p w14:paraId="7616A584" w14:textId="77777777"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Présentation de la personne ou du groupe de recherche responsable du questionnaire</w:t>
      </w:r>
    </w:p>
    <w:p w14:paraId="5DD8A11A" w14:textId="77777777"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Le thème de la recherche</w:t>
      </w:r>
    </w:p>
    <w:p w14:paraId="5AA94EB7" w14:textId="77777777"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L’intérêt du questionnaire pour l’auteur et le sujet</w:t>
      </w:r>
    </w:p>
    <w:p w14:paraId="2C3DAE61" w14:textId="7F28B53F"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Le nombre de question</w:t>
      </w:r>
      <w:r w:rsidR="004538E6">
        <w:rPr>
          <w:rFonts w:cstheme="minorHAnsi"/>
        </w:rPr>
        <w:t>s</w:t>
      </w:r>
    </w:p>
    <w:p w14:paraId="5557884B" w14:textId="77777777"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Le temps de passation</w:t>
      </w:r>
    </w:p>
    <w:p w14:paraId="1A1482E9" w14:textId="77777777"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La garantie d’anonymat</w:t>
      </w:r>
    </w:p>
    <w:p w14:paraId="1FEEDA12" w14:textId="77777777" w:rsidR="00010CF6" w:rsidRPr="00C0572E" w:rsidRDefault="00010CF6" w:rsidP="001C18E0">
      <w:pPr>
        <w:pStyle w:val="Paragraphedeliste"/>
        <w:numPr>
          <w:ilvl w:val="0"/>
          <w:numId w:val="14"/>
        </w:numPr>
        <w:spacing w:line="360" w:lineRule="auto"/>
        <w:jc w:val="both"/>
        <w:rPr>
          <w:rFonts w:cstheme="minorHAnsi"/>
        </w:rPr>
      </w:pPr>
      <w:r w:rsidRPr="00C0572E">
        <w:rPr>
          <w:rFonts w:cstheme="minorHAnsi"/>
        </w:rPr>
        <w:t>Le respect du RGPD</w:t>
      </w:r>
    </w:p>
    <w:p w14:paraId="2930AB93" w14:textId="77777777" w:rsidR="00010CF6" w:rsidRPr="00C0572E" w:rsidRDefault="00010CF6" w:rsidP="001C18E0">
      <w:pPr>
        <w:spacing w:line="360" w:lineRule="auto"/>
        <w:jc w:val="both"/>
        <w:rPr>
          <w:rFonts w:cstheme="minorHAnsi"/>
        </w:rPr>
      </w:pPr>
      <w:r>
        <w:rPr>
          <w:rFonts w:cstheme="minorHAnsi"/>
        </w:rPr>
        <w:tab/>
      </w:r>
      <w:r w:rsidRPr="00C0572E">
        <w:rPr>
          <w:rFonts w:cstheme="minorHAnsi"/>
        </w:rPr>
        <w:t>L’introduction du questionnaire est à retrouver dans la partie « considérations éthiques et administratives ».</w:t>
      </w:r>
    </w:p>
    <w:p w14:paraId="4B32E15F" w14:textId="7DF12151" w:rsidR="00010CF6" w:rsidRPr="00C0572E" w:rsidRDefault="00010CF6" w:rsidP="001C18E0">
      <w:pPr>
        <w:spacing w:line="360" w:lineRule="auto"/>
        <w:jc w:val="both"/>
        <w:rPr>
          <w:rFonts w:cstheme="minorHAnsi"/>
        </w:rPr>
      </w:pPr>
      <w:r>
        <w:rPr>
          <w:rFonts w:cstheme="minorHAnsi"/>
        </w:rPr>
        <w:tab/>
      </w:r>
      <w:r w:rsidRPr="00C0572E">
        <w:rPr>
          <w:rFonts w:cstheme="minorHAnsi"/>
        </w:rPr>
        <w:t>Les questions doivent être claires</w:t>
      </w:r>
      <w:r w:rsidR="004538E6">
        <w:rPr>
          <w:rFonts w:cstheme="minorHAnsi"/>
        </w:rPr>
        <w:t>,</w:t>
      </w:r>
      <w:r w:rsidRPr="00C0572E">
        <w:rPr>
          <w:rFonts w:cstheme="minorHAnsi"/>
        </w:rPr>
        <w:t xml:space="preserve"> simplifiées</w:t>
      </w:r>
      <w:r w:rsidR="004538E6">
        <w:rPr>
          <w:rFonts w:cstheme="minorHAnsi"/>
        </w:rPr>
        <w:t xml:space="preserve"> et l</w:t>
      </w:r>
      <w:r w:rsidRPr="00C0572E">
        <w:rPr>
          <w:rFonts w:cstheme="minorHAnsi"/>
        </w:rPr>
        <w:t>es termes utilisés adaptés à la population ciblée. Chaque question doit être pertinente dans l’intérêt de la question de recherche. Les questions biaisées ou orientées doivent être évitées. De plus, il est essentiel d’explorer un seul aspect à la fois. L’ordre des questions a son importance</w:t>
      </w:r>
      <w:r w:rsidR="004538E6">
        <w:rPr>
          <w:rFonts w:cstheme="minorHAnsi"/>
        </w:rPr>
        <w:t xml:space="preserve"> et</w:t>
      </w:r>
      <w:r w:rsidRPr="00C0572E">
        <w:rPr>
          <w:rFonts w:cstheme="minorHAnsi"/>
        </w:rPr>
        <w:t xml:space="preserve"> il est recommandé d’adopter un ordre en forme de « sablier » en commençant par des questions générales pour ensuite interroger des aspects spécifiques. Il est conseillé de regrouper les questions par thématique et d’établir des liens entre chaque question </w:t>
      </w:r>
      <w:r w:rsidRPr="00C0572E">
        <w:rPr>
          <w:rFonts w:cstheme="minorHAnsi"/>
        </w:rPr>
        <w:fldChar w:fldCharType="begin"/>
      </w:r>
      <w:r w:rsidRPr="00C0572E">
        <w:rPr>
          <w:rFonts w:cstheme="minorHAnsi"/>
        </w:rPr>
        <w:instrText xml:space="preserve"> ADDIN ZOTERO_ITEM CSL_CITATION {"citationID":"WZfG546H","properties":{"formattedCitation":"(Berthier, 2023; Singly, 2020)","plainCitation":"(Berthier, 2023; Singly, 2020)","noteIndex":0},"citationItems":[{"id":411,"uris":["http://zotero.org/users/10583480/items/XJMLAC33"],"itemData":{"id":411,"type":"article-journal","container-title":"Cursus","language":"fr","note":"publisher: Armand Colin","page":"98-172","source":"shs.cairn.info","title":"Chapitre 5. Le questionnaire","volume":"4","author":[{"family":"Berthier","given":"Nicole"}],"issued":{"date-parts":[["2023",10,11]]}}},{"id":420,"uris":["http://zotero.org/users/10583480/items/R555AUSL"],"itemData":{"id":420,"type":"article-journal","container-title":"128","language":"fr","note":"publisher: Armand Colin\nsection: Sociologie","page":"23-43","source":"shs.cairn.info","title":"2. La conception du questionnaire","volume":"5","author":[{"family":"Singly","given":"François","dropping-particle":"de"}],"issued":{"date-parts":[["2020"]]}}}],"schema":"https://github.com/citation-style-language/schema/raw/master/csl-citation.json"} </w:instrText>
      </w:r>
      <w:r w:rsidRPr="00C0572E">
        <w:rPr>
          <w:rFonts w:cstheme="minorHAnsi"/>
        </w:rPr>
        <w:fldChar w:fldCharType="separate"/>
      </w:r>
      <w:r w:rsidRPr="00C0572E">
        <w:rPr>
          <w:rFonts w:cstheme="minorHAnsi"/>
          <w:noProof/>
        </w:rPr>
        <w:t>(Berthier, 2023; Singly, 2020)</w:t>
      </w:r>
      <w:r w:rsidRPr="00C0572E">
        <w:rPr>
          <w:rFonts w:cstheme="minorHAnsi"/>
        </w:rPr>
        <w:fldChar w:fldCharType="end"/>
      </w:r>
      <w:r w:rsidRPr="00C0572E">
        <w:rPr>
          <w:rFonts w:cstheme="minorHAnsi"/>
        </w:rPr>
        <w:t>.</w:t>
      </w:r>
    </w:p>
    <w:p w14:paraId="36945AA7" w14:textId="49ECF733" w:rsidR="00726760" w:rsidRDefault="00010CF6" w:rsidP="001C18E0">
      <w:pPr>
        <w:spacing w:line="360" w:lineRule="auto"/>
        <w:jc w:val="both"/>
        <w:rPr>
          <w:rFonts w:cstheme="minorHAnsi"/>
        </w:rPr>
      </w:pPr>
      <w:r w:rsidRPr="00C0572E">
        <w:rPr>
          <w:rFonts w:cstheme="minorHAnsi"/>
        </w:rPr>
        <w:t xml:space="preserve">Le questionnaire est finalisé par un message de remerciement </w:t>
      </w:r>
      <w:r w:rsidRPr="00C0572E">
        <w:rPr>
          <w:rFonts w:cstheme="minorHAnsi"/>
        </w:rPr>
        <w:fldChar w:fldCharType="begin"/>
      </w:r>
      <w:r w:rsidRPr="00C0572E">
        <w:rPr>
          <w:rFonts w:cstheme="minorHAnsi"/>
        </w:rPr>
        <w:instrText xml:space="preserve"> ADDIN ZOTERO_ITEM CSL_CITATION {"citationID":"577yMzN0","properties":{"formattedCitation":"(Fenneteau, 2015)","plainCitation":"(Fenneteau, 2015)","noteIndex":0},"citationItems":[{"id":418,"uris":["http://zotero.org/users/10583480/items/YXV5ELKH"],"itemData":{"id":418,"type":"article-journal","container-title":"Les Topos","language":"fr","note":"publisher: Dunod\nsection: Sport et société","page":"111-120","source":"shs.cairn.info","title":"Chapitre 5. La structuration et le test du questionnaire","volume":"3","author":[{"family":"Fenneteau","given":"Hervé"}],"issued":{"date-parts":[["2015"]]}}}],"schema":"https://github.com/citation-style-language/schema/raw/master/csl-citation.json"} </w:instrText>
      </w:r>
      <w:r w:rsidRPr="00C0572E">
        <w:rPr>
          <w:rFonts w:cstheme="minorHAnsi"/>
        </w:rPr>
        <w:fldChar w:fldCharType="separate"/>
      </w:r>
      <w:r w:rsidRPr="00C0572E">
        <w:rPr>
          <w:rFonts w:cstheme="minorHAnsi"/>
          <w:noProof/>
        </w:rPr>
        <w:t>(Fenneteau, 2015)</w:t>
      </w:r>
      <w:r w:rsidRPr="00C0572E">
        <w:rPr>
          <w:rFonts w:cstheme="minorHAnsi"/>
        </w:rPr>
        <w:fldChar w:fldCharType="end"/>
      </w:r>
      <w:r w:rsidRPr="00C0572E">
        <w:rPr>
          <w:rFonts w:cstheme="minorHAnsi"/>
        </w:rPr>
        <w:t>.</w:t>
      </w:r>
    </w:p>
    <w:p w14:paraId="440E0CC9" w14:textId="77777777" w:rsidR="003170C9" w:rsidRPr="00C0572E" w:rsidRDefault="003170C9" w:rsidP="001C18E0">
      <w:pPr>
        <w:spacing w:line="360" w:lineRule="auto"/>
        <w:jc w:val="both"/>
        <w:rPr>
          <w:rFonts w:cstheme="minorHAnsi"/>
        </w:rPr>
      </w:pPr>
    </w:p>
    <w:p w14:paraId="22C02346" w14:textId="70E9F066" w:rsidR="00726760" w:rsidRPr="00726760" w:rsidRDefault="00010CF6" w:rsidP="001C18E0">
      <w:pPr>
        <w:pStyle w:val="Titre3"/>
        <w:spacing w:line="360" w:lineRule="auto"/>
        <w:jc w:val="both"/>
      </w:pPr>
      <w:bookmarkStart w:id="37" w:name="_Toc197600549"/>
      <w:bookmarkStart w:id="38" w:name="_Toc221704627"/>
      <w:r w:rsidRPr="00726760">
        <w:t>Population et échantillon</w:t>
      </w:r>
      <w:bookmarkEnd w:id="37"/>
      <w:bookmarkEnd w:id="38"/>
    </w:p>
    <w:p w14:paraId="4A6134C0" w14:textId="2D5EB76C" w:rsidR="00726760" w:rsidRDefault="00010CF6" w:rsidP="001C18E0">
      <w:pPr>
        <w:spacing w:line="360" w:lineRule="auto"/>
        <w:jc w:val="both"/>
      </w:pPr>
      <w:r w:rsidRPr="00726760">
        <w:tab/>
        <w:t>Pour garantir la représentativité des résultats,</w:t>
      </w:r>
      <w:r w:rsidR="00CC0749" w:rsidRPr="00726760">
        <w:t xml:space="preserve"> il est important de </w:t>
      </w:r>
      <w:r w:rsidR="00726760" w:rsidRPr="00726760">
        <w:t>réaliser</w:t>
      </w:r>
      <w:r w:rsidR="00CC0749" w:rsidRPr="00726760">
        <w:t xml:space="preserve"> un calcul pour déterminer la taille de l’échantillon permettant la validité scientifique des résultats obtenues</w:t>
      </w:r>
      <w:r w:rsidR="00726760" w:rsidRPr="00726760">
        <w:t xml:space="preserve">. Il faut </w:t>
      </w:r>
      <w:r w:rsidR="00726760" w:rsidRPr="00726760">
        <w:lastRenderedPageBreak/>
        <w:t>pour cela identifier une population, ici l’ensemble des masseurs-kinésithérapeute exerçant en France (soit 109 000 selon l’ordre des masseurs-kinésithérapeutes en 2024). Il est également déterminé l’intervalle de confiance de 95% et une marge d’erreur de 5%. A l’aide de ces paramètres et de la formule proposée par Charan (</w:t>
      </w:r>
      <w:r w:rsidR="00726760" w:rsidRPr="00726760">
        <w:rPr>
          <w:i/>
          <w:iCs/>
        </w:rPr>
        <w:t xml:space="preserve">Figure </w:t>
      </w:r>
      <w:r w:rsidR="004E0E4E">
        <w:rPr>
          <w:i/>
          <w:iCs/>
        </w:rPr>
        <w:t>5</w:t>
      </w:r>
      <w:r w:rsidR="00726760" w:rsidRPr="00726760">
        <w:rPr>
          <w:i/>
          <w:iCs/>
        </w:rPr>
        <w:t>)</w:t>
      </w:r>
      <w:r w:rsidR="00726760" w:rsidRPr="00726760">
        <w:t xml:space="preserve">, il est nécessaire de recueillir un minimum de 383 réponses afin que les résultats soient statistiquement significatifs et généralisables à l’ensemble des masseurs-kinésithérapeutes français. Ce calcul a pu être réalisé avec l’aide </w:t>
      </w:r>
      <w:r w:rsidR="004E0E4E">
        <w:t>de la formule suivante</w:t>
      </w:r>
      <w:r w:rsidR="00726760" w:rsidRPr="00726760">
        <w:t xml:space="preserve"> </w:t>
      </w:r>
      <w:r w:rsidR="00726760" w:rsidRPr="00726760">
        <w:fldChar w:fldCharType="begin"/>
      </w:r>
      <w:r w:rsidR="00726760" w:rsidRPr="00726760">
        <w:instrText xml:space="preserve"> ADDIN ZOTERO_ITEM CSL_CITATION {"citationID":"mX7GCcN8","properties":{"formattedCitation":"(Charan, 2013)","plainCitation":"(Charan, 2013)","noteIndex":0},"citationItems":[{"id":459,"uris":["http://zotero.org/users/10583480/items/TRN4NYCG"],"itemData":{"id":459,"type":"article-journal","title":"How to Calculate Sample Size for Different Study Designs in Medical Research?","author":[{"literal":"Charan"}],"issued":{"date-parts":[["2013"]]}}}],"schema":"https://github.com/citation-style-language/schema/raw/master/csl-citation.json"} </w:instrText>
      </w:r>
      <w:r w:rsidR="00726760" w:rsidRPr="00726760">
        <w:fldChar w:fldCharType="separate"/>
      </w:r>
      <w:r w:rsidR="00726760" w:rsidRPr="00726760">
        <w:rPr>
          <w:noProof/>
        </w:rPr>
        <w:t>(Charan, 2013)</w:t>
      </w:r>
      <w:r w:rsidR="00726760" w:rsidRPr="00726760">
        <w:fldChar w:fldCharType="end"/>
      </w:r>
      <w:r w:rsidR="00726760" w:rsidRPr="00726760">
        <w:t>.</w:t>
      </w:r>
    </w:p>
    <w:p w14:paraId="708DE03C" w14:textId="77777777" w:rsidR="003D6554" w:rsidRDefault="003D6554" w:rsidP="003D6554">
      <w:pPr>
        <w:keepNext/>
        <w:spacing w:line="360" w:lineRule="auto"/>
        <w:jc w:val="center"/>
      </w:pPr>
      <w:r>
        <w:rPr>
          <w:noProof/>
        </w:rPr>
        <w:drawing>
          <wp:inline distT="0" distB="0" distL="0" distR="0" wp14:anchorId="247167A1" wp14:editId="127D3B04">
            <wp:extent cx="2729926" cy="1364963"/>
            <wp:effectExtent l="0" t="0" r="635" b="0"/>
            <wp:docPr id="1742323323" name="Image 2" descr="Une image contenant texte, Police, écriture manuscrite,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23323" name="Image 2" descr="Une image contenant texte, Police, écriture manuscrite, blanc&#10;&#10;Le contenu généré par l’IA peut êtr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28013" cy="1414007"/>
                    </a:xfrm>
                    <a:prstGeom prst="rect">
                      <a:avLst/>
                    </a:prstGeom>
                  </pic:spPr>
                </pic:pic>
              </a:graphicData>
            </a:graphic>
          </wp:inline>
        </w:drawing>
      </w:r>
    </w:p>
    <w:p w14:paraId="054A5F1F" w14:textId="2C9941BF" w:rsidR="00E63D77" w:rsidRDefault="00E63D77" w:rsidP="003D6554">
      <w:pPr>
        <w:pStyle w:val="Lgende"/>
        <w:jc w:val="center"/>
      </w:pPr>
      <w:r>
        <w:t xml:space="preserve">Légende : z = écart-type par rapport à la moyenne p= proportion attendue e= marge d’erreur N= Taille de la population globale </w:t>
      </w:r>
    </w:p>
    <w:p w14:paraId="0B990FE0" w14:textId="7BEFBABB" w:rsidR="00726760" w:rsidRDefault="003D6554" w:rsidP="003D6554">
      <w:pPr>
        <w:pStyle w:val="Lgende"/>
        <w:jc w:val="center"/>
      </w:pPr>
      <w:bookmarkStart w:id="39" w:name="_Toc221441344"/>
      <w:r>
        <w:t xml:space="preserve">Figure </w:t>
      </w:r>
      <w:r w:rsidR="006B2AE6">
        <w:fldChar w:fldCharType="begin"/>
      </w:r>
      <w:r w:rsidR="006B2AE6">
        <w:instrText xml:space="preserve"> SEQ Figure \* ARABIC </w:instrText>
      </w:r>
      <w:r w:rsidR="006B2AE6">
        <w:fldChar w:fldCharType="separate"/>
      </w:r>
      <w:r w:rsidR="00B93EA8">
        <w:rPr>
          <w:noProof/>
        </w:rPr>
        <w:t>5</w:t>
      </w:r>
      <w:r w:rsidR="006B2AE6">
        <w:rPr>
          <w:noProof/>
        </w:rPr>
        <w:fldChar w:fldCharType="end"/>
      </w:r>
      <w:r>
        <w:t xml:space="preserve">: Formule de calcul </w:t>
      </w:r>
      <w:r w:rsidR="004E0E4E">
        <w:t>crée par Charan</w:t>
      </w:r>
      <w:bookmarkEnd w:id="39"/>
    </w:p>
    <w:p w14:paraId="172DE6FD" w14:textId="77777777" w:rsidR="003D6554" w:rsidRPr="003D6554" w:rsidRDefault="003D6554" w:rsidP="003D6554"/>
    <w:p w14:paraId="5866C8A0" w14:textId="47570FBF" w:rsidR="00010CF6" w:rsidRDefault="00010CF6" w:rsidP="001C18E0">
      <w:pPr>
        <w:spacing w:line="360" w:lineRule="auto"/>
        <w:jc w:val="both"/>
      </w:pPr>
      <w:r>
        <w:tab/>
        <w:t>Les différents critères permettant d’assurer la qualité des données et leur intérêt au sein de l’étude ont été défini. Le but étant</w:t>
      </w:r>
      <w:r w:rsidR="004538E6">
        <w:t xml:space="preserve"> </w:t>
      </w:r>
      <w:r>
        <w:t>de maximiser la diversité des répondants et atteindre la taille d’échantillon requise.</w:t>
      </w:r>
    </w:p>
    <w:p w14:paraId="7A2B99A2" w14:textId="77777777" w:rsidR="00010CF6" w:rsidRDefault="00010CF6" w:rsidP="001C18E0">
      <w:pPr>
        <w:spacing w:line="360" w:lineRule="auto"/>
        <w:jc w:val="both"/>
      </w:pPr>
      <w:r>
        <w:t>Les critères d’inclusion sont définis comme étant :</w:t>
      </w:r>
    </w:p>
    <w:p w14:paraId="75B1D130" w14:textId="77777777" w:rsidR="00010CF6" w:rsidRDefault="00010CF6" w:rsidP="001C18E0">
      <w:pPr>
        <w:pStyle w:val="Paragraphedeliste"/>
        <w:numPr>
          <w:ilvl w:val="0"/>
          <w:numId w:val="14"/>
        </w:numPr>
        <w:spacing w:line="360" w:lineRule="auto"/>
        <w:jc w:val="both"/>
      </w:pPr>
      <w:r>
        <w:t xml:space="preserve">Être titulaire du Diplôme d’État de masseurs-kinésithérapeute </w:t>
      </w:r>
    </w:p>
    <w:p w14:paraId="41B30983" w14:textId="77777777" w:rsidR="00010CF6" w:rsidRDefault="00010CF6" w:rsidP="001C18E0">
      <w:pPr>
        <w:pStyle w:val="Paragraphedeliste"/>
        <w:numPr>
          <w:ilvl w:val="0"/>
          <w:numId w:val="14"/>
        </w:numPr>
        <w:spacing w:line="360" w:lineRule="auto"/>
        <w:jc w:val="both"/>
      </w:pPr>
      <w:r>
        <w:t xml:space="preserve"> Exercer une activité clinique impliquant l’évaluation et la prise en soin de personnes âgées</w:t>
      </w:r>
    </w:p>
    <w:p w14:paraId="3FE4EA58" w14:textId="3593B51A" w:rsidR="00010CF6" w:rsidRDefault="00010CF6" w:rsidP="001C18E0">
      <w:pPr>
        <w:pStyle w:val="Paragraphedeliste"/>
        <w:numPr>
          <w:ilvl w:val="0"/>
          <w:numId w:val="14"/>
        </w:numPr>
        <w:spacing w:line="360" w:lineRule="auto"/>
        <w:jc w:val="both"/>
      </w:pPr>
      <w:r w:rsidRPr="00A96725">
        <w:t>Consent</w:t>
      </w:r>
      <w:r>
        <w:t>ir</w:t>
      </w:r>
      <w:r w:rsidRPr="00A96725">
        <w:t xml:space="preserve"> libre</w:t>
      </w:r>
      <w:r>
        <w:t>ment</w:t>
      </w:r>
      <w:r w:rsidRPr="00A96725">
        <w:t xml:space="preserve"> </w:t>
      </w:r>
      <w:r>
        <w:t>à participer à l’étude, au recueil et au traitement des données</w:t>
      </w:r>
    </w:p>
    <w:p w14:paraId="12C2BD7B" w14:textId="77777777" w:rsidR="00CC0749" w:rsidRDefault="00CC0749" w:rsidP="001C18E0">
      <w:pPr>
        <w:pStyle w:val="Paragraphedeliste"/>
        <w:spacing w:line="360" w:lineRule="auto"/>
        <w:jc w:val="both"/>
      </w:pPr>
    </w:p>
    <w:p w14:paraId="4BFF0583" w14:textId="7F345F85" w:rsidR="00010CF6" w:rsidRDefault="00010CF6" w:rsidP="001C18E0">
      <w:pPr>
        <w:spacing w:after="0" w:line="360" w:lineRule="auto"/>
        <w:jc w:val="both"/>
      </w:pPr>
      <w:r>
        <w:t>Les critères d</w:t>
      </w:r>
      <w:r w:rsidR="005277A4">
        <w:t xml:space="preserve">e non-inclusion </w:t>
      </w:r>
      <w:r>
        <w:t xml:space="preserve">concernent : </w:t>
      </w:r>
    </w:p>
    <w:p w14:paraId="118360BD" w14:textId="77777777" w:rsidR="00010CF6" w:rsidRPr="00A96725" w:rsidRDefault="00010CF6" w:rsidP="001C18E0">
      <w:pPr>
        <w:pStyle w:val="Paragraphedeliste"/>
        <w:numPr>
          <w:ilvl w:val="0"/>
          <w:numId w:val="14"/>
        </w:numPr>
        <w:spacing w:after="0" w:line="360" w:lineRule="auto"/>
        <w:jc w:val="both"/>
      </w:pPr>
      <w:r>
        <w:t>Les m</w:t>
      </w:r>
      <w:r w:rsidRPr="00A96725">
        <w:t>asseur</w:t>
      </w:r>
      <w:r>
        <w:t>s</w:t>
      </w:r>
      <w:r w:rsidRPr="00A96725">
        <w:t>-Kinésithérapeute</w:t>
      </w:r>
      <w:r>
        <w:t>s</w:t>
      </w:r>
      <w:r w:rsidRPr="00A96725">
        <w:t xml:space="preserve"> DE ne prenant pas en soin des personnes âgées de plus de 60 ans</w:t>
      </w:r>
    </w:p>
    <w:p w14:paraId="7822E695" w14:textId="77777777" w:rsidR="00010CF6" w:rsidRPr="00A96725" w:rsidRDefault="00010CF6" w:rsidP="001C18E0">
      <w:pPr>
        <w:pStyle w:val="Paragraphedeliste"/>
        <w:numPr>
          <w:ilvl w:val="0"/>
          <w:numId w:val="14"/>
        </w:numPr>
        <w:spacing w:after="0" w:line="360" w:lineRule="auto"/>
        <w:jc w:val="both"/>
      </w:pPr>
      <w:r>
        <w:t>Les m</w:t>
      </w:r>
      <w:r w:rsidRPr="00A96725">
        <w:t>asseur</w:t>
      </w:r>
      <w:r>
        <w:t>s</w:t>
      </w:r>
      <w:r w:rsidRPr="00A96725">
        <w:t>-Kinésithérapeute</w:t>
      </w:r>
      <w:r>
        <w:t>s</w:t>
      </w:r>
      <w:r w:rsidRPr="00A96725">
        <w:t xml:space="preserve"> DE ne prenant pas en soin des personnes avec troubles de l’équilibre</w:t>
      </w:r>
    </w:p>
    <w:p w14:paraId="6DF4DD9C" w14:textId="77777777" w:rsidR="00010CF6" w:rsidRDefault="00010CF6" w:rsidP="001C18E0">
      <w:pPr>
        <w:pStyle w:val="Paragraphedeliste"/>
        <w:numPr>
          <w:ilvl w:val="0"/>
          <w:numId w:val="14"/>
        </w:numPr>
        <w:spacing w:after="0" w:line="360" w:lineRule="auto"/>
        <w:jc w:val="both"/>
      </w:pPr>
      <w:r>
        <w:t>Les p</w:t>
      </w:r>
      <w:r w:rsidRPr="00A96725">
        <w:t>ersonnes majeures faisant l’objet d’une protection légale (sauvegarde de justice, curatelle, tutelle), personnes privées de liberté.</w:t>
      </w:r>
    </w:p>
    <w:p w14:paraId="65E690B2" w14:textId="77777777" w:rsidR="00010CF6" w:rsidRDefault="00010CF6" w:rsidP="001C18E0">
      <w:pPr>
        <w:spacing w:after="0" w:line="360" w:lineRule="auto"/>
        <w:jc w:val="both"/>
      </w:pPr>
    </w:p>
    <w:p w14:paraId="5949F393" w14:textId="1AD0A809" w:rsidR="00010CF6" w:rsidRDefault="00010CF6" w:rsidP="001C18E0">
      <w:pPr>
        <w:spacing w:after="0" w:line="360" w:lineRule="auto"/>
        <w:jc w:val="both"/>
      </w:pPr>
      <w:r>
        <w:lastRenderedPageBreak/>
        <w:tab/>
        <w:t xml:space="preserve">Un premier tri sera réalisé dès </w:t>
      </w:r>
      <w:r w:rsidR="004538E6">
        <w:t xml:space="preserve">la </w:t>
      </w:r>
      <w:r>
        <w:t>réception des données afin d</w:t>
      </w:r>
      <w:r w:rsidR="005277A4">
        <w:t>’exclure</w:t>
      </w:r>
      <w:r>
        <w:t xml:space="preserve"> de l’étude les réponses non conformes aux multiples critères</w:t>
      </w:r>
      <w:r w:rsidR="004538E6">
        <w:t xml:space="preserve"> et</w:t>
      </w:r>
      <w:r>
        <w:t xml:space="preserve"> dans le but de conserver une qualité des données permettant la validité scientifique des résultats.</w:t>
      </w:r>
      <w:r w:rsidR="005277A4">
        <w:t xml:space="preserve"> Des critères d’exclusion sont ajoutés post-collecte des questionnaires comme un temps de réponse court ne permettant pas de visualiser correctement toutes les questions ou encore un schéma de réponse uniforme (le participant coche toujours la première case). </w:t>
      </w:r>
    </w:p>
    <w:p w14:paraId="0512325C" w14:textId="77777777" w:rsidR="00010CF6" w:rsidRPr="00273362" w:rsidRDefault="00010CF6" w:rsidP="001C18E0">
      <w:pPr>
        <w:spacing w:after="0" w:line="360" w:lineRule="auto"/>
        <w:jc w:val="both"/>
      </w:pPr>
    </w:p>
    <w:p w14:paraId="2622B2BD" w14:textId="77777777" w:rsidR="00010CF6" w:rsidRDefault="00010CF6" w:rsidP="001C18E0">
      <w:pPr>
        <w:pStyle w:val="Titre3"/>
        <w:spacing w:line="360" w:lineRule="auto"/>
        <w:jc w:val="both"/>
        <w:rPr>
          <w:rFonts w:cstheme="minorHAnsi"/>
        </w:rPr>
      </w:pPr>
      <w:bookmarkStart w:id="40" w:name="_Toc197600550"/>
      <w:bookmarkStart w:id="41" w:name="_Toc221704628"/>
      <w:r w:rsidRPr="00C0572E">
        <w:rPr>
          <w:rFonts w:cstheme="minorHAnsi"/>
        </w:rPr>
        <w:t>Questions</w:t>
      </w:r>
      <w:bookmarkEnd w:id="40"/>
      <w:bookmarkEnd w:id="41"/>
    </w:p>
    <w:p w14:paraId="1C2FC2CC" w14:textId="1B15A34A" w:rsidR="00010CF6" w:rsidRDefault="00010CF6" w:rsidP="001C18E0">
      <w:pPr>
        <w:spacing w:line="360" w:lineRule="auto"/>
        <w:jc w:val="both"/>
      </w:pPr>
      <w:r>
        <w:tab/>
        <w:t>La rédaction des questions doit se faire de manière stricte et en suivant une méthodologie adaptée dans le but de garantir la validité et la fiabilité des données recueilli</w:t>
      </w:r>
      <w:r w:rsidR="004538E6">
        <w:t>es</w:t>
      </w:r>
      <w:r>
        <w:t xml:space="preserve">. Il a été choisi d’utiliser les formes de question fermée, question à choix multiples ou échelles de Likert afin de faciliter l’analyse statistique des données et l’interprétation de celles-ci </w:t>
      </w:r>
      <w:r>
        <w:fldChar w:fldCharType="begin"/>
      </w:r>
      <w:r>
        <w:instrText xml:space="preserve"> ADDIN ZOTERO_ITEM CSL_CITATION {"citationID":"B07yIjyX","properties":{"formattedCitation":"(Boulan, 2015)","plainCitation":"(Boulan, 2015)","noteIndex":0},"citationItems":[{"id":460,"uris":["http://zotero.org/users/10583480/items/APQ7LFEH"],"itemData":{"id":460,"type":"article-journal","container-title":"Fonctions de l'entreprise","language":"fr","note":"publisher: Dunod\nsection: Sociologie","page":"91-171","source":"shs.cairn.info","title":"Chapitre 4. Les types de questions","author":[{"family":"Boulan","given":"Henri"}],"issued":{"date-parts":[["2015"]]}}}],"schema":"https://github.com/citation-style-language/schema/raw/master/csl-citation.json"} </w:instrText>
      </w:r>
      <w:r>
        <w:fldChar w:fldCharType="separate"/>
      </w:r>
      <w:r>
        <w:rPr>
          <w:noProof/>
        </w:rPr>
        <w:t>(Boulan, 2015)</w:t>
      </w:r>
      <w:r>
        <w:fldChar w:fldCharType="end"/>
      </w:r>
      <w:r>
        <w:t>.</w:t>
      </w:r>
    </w:p>
    <w:p w14:paraId="6F50C02F" w14:textId="1ED852E3" w:rsidR="00010CF6" w:rsidRDefault="00010CF6" w:rsidP="001C18E0">
      <w:pPr>
        <w:spacing w:line="360" w:lineRule="auto"/>
        <w:jc w:val="both"/>
      </w:pPr>
      <w:r>
        <w:tab/>
        <w:t xml:space="preserve">Le questionnaire est divisé en </w:t>
      </w:r>
      <w:r w:rsidR="005277A4">
        <w:t>sept sections</w:t>
      </w:r>
      <w:r>
        <w:t xml:space="preserve"> distinctes : </w:t>
      </w:r>
    </w:p>
    <w:p w14:paraId="07E9AE22" w14:textId="4E902741" w:rsidR="00010CF6" w:rsidRDefault="00010CF6" w:rsidP="001C18E0">
      <w:pPr>
        <w:pStyle w:val="Paragraphedeliste"/>
        <w:numPr>
          <w:ilvl w:val="0"/>
          <w:numId w:val="14"/>
        </w:numPr>
        <w:spacing w:line="360" w:lineRule="auto"/>
        <w:jc w:val="both"/>
      </w:pPr>
      <w:r>
        <w:t xml:space="preserve">Le recueil </w:t>
      </w:r>
      <w:r w:rsidR="005277A4">
        <w:t xml:space="preserve">de la non-opposition </w:t>
      </w:r>
    </w:p>
    <w:p w14:paraId="2ACA06C6" w14:textId="77777777" w:rsidR="00010CF6" w:rsidRDefault="00010CF6" w:rsidP="001C18E0">
      <w:pPr>
        <w:pStyle w:val="Paragraphedeliste"/>
        <w:numPr>
          <w:ilvl w:val="0"/>
          <w:numId w:val="14"/>
        </w:numPr>
        <w:spacing w:line="360" w:lineRule="auto"/>
        <w:jc w:val="both"/>
      </w:pPr>
      <w:r>
        <w:t>Les questions d’ordre démographique</w:t>
      </w:r>
    </w:p>
    <w:p w14:paraId="011CCD1D" w14:textId="7CFAAF12" w:rsidR="00010CF6" w:rsidRDefault="00010CF6" w:rsidP="001C18E0">
      <w:pPr>
        <w:pStyle w:val="Paragraphedeliste"/>
        <w:numPr>
          <w:ilvl w:val="0"/>
          <w:numId w:val="14"/>
        </w:numPr>
        <w:spacing w:line="360" w:lineRule="auto"/>
        <w:jc w:val="both"/>
      </w:pPr>
      <w:r>
        <w:t>L</w:t>
      </w:r>
      <w:r w:rsidR="005277A4">
        <w:t xml:space="preserve">a pratique clinique autour du contrôle postural </w:t>
      </w:r>
    </w:p>
    <w:p w14:paraId="0946BC16" w14:textId="60B7A3E1" w:rsidR="005277A4" w:rsidRDefault="005277A4" w:rsidP="001C18E0">
      <w:pPr>
        <w:pStyle w:val="Paragraphedeliste"/>
        <w:numPr>
          <w:ilvl w:val="0"/>
          <w:numId w:val="14"/>
        </w:numPr>
        <w:spacing w:line="360" w:lineRule="auto"/>
        <w:jc w:val="both"/>
      </w:pPr>
      <w:r>
        <w:t xml:space="preserve">Les pratiques d’évaluation et tests utilisés </w:t>
      </w:r>
    </w:p>
    <w:p w14:paraId="07AEC9B2" w14:textId="5AB148B4" w:rsidR="005277A4" w:rsidRDefault="005277A4" w:rsidP="001C18E0">
      <w:pPr>
        <w:pStyle w:val="Paragraphedeliste"/>
        <w:numPr>
          <w:ilvl w:val="0"/>
          <w:numId w:val="14"/>
        </w:numPr>
        <w:spacing w:line="360" w:lineRule="auto"/>
        <w:jc w:val="both"/>
      </w:pPr>
      <w:r>
        <w:t>Les connaissances théoriques</w:t>
      </w:r>
    </w:p>
    <w:p w14:paraId="3526EAD8" w14:textId="39180D05" w:rsidR="005277A4" w:rsidRDefault="005277A4" w:rsidP="001C18E0">
      <w:pPr>
        <w:pStyle w:val="Paragraphedeliste"/>
        <w:numPr>
          <w:ilvl w:val="0"/>
          <w:numId w:val="14"/>
        </w:numPr>
        <w:spacing w:line="360" w:lineRule="auto"/>
        <w:jc w:val="both"/>
      </w:pPr>
      <w:r>
        <w:t xml:space="preserve">Les formations </w:t>
      </w:r>
    </w:p>
    <w:p w14:paraId="39BB4610" w14:textId="1A21887B" w:rsidR="005277A4" w:rsidRDefault="005277A4" w:rsidP="001C18E0">
      <w:pPr>
        <w:pStyle w:val="Paragraphedeliste"/>
        <w:numPr>
          <w:ilvl w:val="0"/>
          <w:numId w:val="14"/>
        </w:numPr>
        <w:spacing w:line="360" w:lineRule="auto"/>
        <w:jc w:val="both"/>
      </w:pPr>
      <w:r>
        <w:t>Les remerciements ou commentaires</w:t>
      </w:r>
    </w:p>
    <w:p w14:paraId="48F59220" w14:textId="000D140D" w:rsidR="00010CF6" w:rsidRDefault="00010CF6" w:rsidP="001C18E0">
      <w:pPr>
        <w:spacing w:line="360" w:lineRule="auto"/>
        <w:jc w:val="both"/>
      </w:pPr>
      <w:r>
        <w:t xml:space="preserve">Ces </w:t>
      </w:r>
      <w:r w:rsidR="005277A4">
        <w:t xml:space="preserve">sept </w:t>
      </w:r>
      <w:r>
        <w:t>parties sont précédées par le message d’introduction.</w:t>
      </w:r>
    </w:p>
    <w:p w14:paraId="0FF39F22" w14:textId="2826131E" w:rsidR="00010CF6" w:rsidRDefault="00010CF6" w:rsidP="001C18E0">
      <w:pPr>
        <w:spacing w:line="360" w:lineRule="auto"/>
        <w:jc w:val="both"/>
      </w:pPr>
      <w:r>
        <w:tab/>
        <w:t xml:space="preserve">Afin de respecter le Règlement Général sur la Protection des Données (RGPD), toutes les données seront anonymisées à l’aide d’un code d’anonymisation défini par chaque répondant. Ce code d’anonymisation est composé de 3 chiffres et de 3 lettres choisis volontairement par le participant. Ce procédé permet de garantir l’anonymat tout en conservant le droit, si volonté du répondant, de pouvoir supprimer </w:t>
      </w:r>
      <w:r w:rsidR="005277A4">
        <w:t>o</w:t>
      </w:r>
      <w:r>
        <w:t xml:space="preserve">u modifier les données sur demande </w:t>
      </w:r>
      <w:r>
        <w:fldChar w:fldCharType="begin"/>
      </w:r>
      <w:r>
        <w:instrText xml:space="preserve"> ADDIN ZOTERO_ITEM CSL_CITATION {"citationID":"LnXuFxRQ","properties":{"formattedCitation":"(CNIL, 2020)","plainCitation":"(CNIL, 2020)","noteIndex":0},"citationItems":[{"id":453,"uris":["http://zotero.org/users/10583480/items/452R8J2H"],"itemData":{"id":453,"type":"webpage","abstract":"Qu’est-ce que l’anonymisation ? L’anonymisation est un traitement qui consiste à utiliser un ensemble de techniques de manière à rendre impossible, en pratique, toute identification de la personne par quelque moyen que ce soit et de manière irréversible. L’anonymisation ne doit pas être confondue avec la pseudonymisation.","language":"fr","title":"L’anonymisation de données personnelles","URL":"https://www.cnil.fr/fr/technologies/lanonymisation-de-donnees-personnelles","author":[{"family":"CNIL","given":""}],"accessed":{"date-parts":[["2025",4,23]]},"issued":{"date-parts":[["2020"]]}}}],"schema":"https://github.com/citation-style-language/schema/raw/master/csl-citation.json"} </w:instrText>
      </w:r>
      <w:r>
        <w:fldChar w:fldCharType="separate"/>
      </w:r>
      <w:r>
        <w:rPr>
          <w:noProof/>
        </w:rPr>
        <w:t>(CNIL, 2020)</w:t>
      </w:r>
      <w:r>
        <w:fldChar w:fldCharType="end"/>
      </w:r>
      <w:r>
        <w:t xml:space="preserve">. </w:t>
      </w:r>
      <w:r w:rsidR="005B3740" w:rsidRPr="005B3740">
        <w:rPr>
          <w:rFonts w:cstheme="minorHAnsi"/>
          <w:color w:val="000000"/>
        </w:rPr>
        <w:t>La préservation de l'anonymat constitue un pilier fondamental de l'éthique de la recherche, permettant non seulement de protéger l'identité des participants, mais également d'encourager des réponses authentiques et libres de toute autocensure</w:t>
      </w:r>
      <w:r w:rsidR="005B3740">
        <w:rPr>
          <w:rFonts w:cstheme="minorHAnsi"/>
          <w:color w:val="000000"/>
        </w:rPr>
        <w:t xml:space="preserve">. </w:t>
      </w:r>
      <w:r w:rsidR="005B3740" w:rsidRPr="005B3740">
        <w:rPr>
          <w:rFonts w:cstheme="minorHAnsi"/>
          <w:color w:val="000000"/>
        </w:rPr>
        <w:t>En garantissant la confidentialité des données personnelles, les participants se sentent davantage en sécurité pour partager leurs expériences et opinions véritables, sans crainte de jugement ou de conséquences</w:t>
      </w:r>
      <w:r w:rsidR="005B3740">
        <w:rPr>
          <w:rFonts w:cstheme="minorHAnsi"/>
          <w:color w:val="000000"/>
        </w:rPr>
        <w:t xml:space="preserve"> </w:t>
      </w:r>
      <w:r>
        <w:fldChar w:fldCharType="begin"/>
      </w:r>
      <w:r>
        <w:instrText xml:space="preserve"> ADDIN ZOTERO_ITEM CSL_CITATION {"citationID":"CNx3y5o1","properties":{"formattedCitation":"(Bianquis, 2018)","plainCitation":"(Bianquis, 2018)","noteIndex":0},"citationItems":[{"id":448,"uris":["http://zotero.org/users/10583480/items/D34545A6"],"itemData":{"id":448,"type":"article-journal","container-title":"Regards croisés sur l'économie","DOI":"10.3917/rce.023.0156","ISSN":"1956-7413","issue":"2","language":"fr","note":"publisher: La Découverte","page":"156-160","source":"shs.cairn.info","title":"La protection juridique des données personnelles","volume":"23","author":[{"family":"Bianquis","given":"Gaspard"}],"issued":{"date-parts":[["2018"]]}}}],"schema":"https://github.com/citation-style-language/schema/raw/master/csl-citation.json"} </w:instrText>
      </w:r>
      <w:r>
        <w:fldChar w:fldCharType="separate"/>
      </w:r>
      <w:r>
        <w:rPr>
          <w:noProof/>
        </w:rPr>
        <w:t>(Bianquis, 2018)</w:t>
      </w:r>
      <w:r>
        <w:fldChar w:fldCharType="end"/>
      </w:r>
      <w:r>
        <w:t xml:space="preserve">. Le consentement </w:t>
      </w:r>
      <w:r w:rsidR="005277A4">
        <w:t>a été</w:t>
      </w:r>
      <w:r>
        <w:t xml:space="preserve"> questionné explicitement dans la première partie du questionnaire.</w:t>
      </w:r>
    </w:p>
    <w:p w14:paraId="102CA190" w14:textId="4E4ED142" w:rsidR="00010CF6" w:rsidRDefault="00010CF6" w:rsidP="001C18E0">
      <w:pPr>
        <w:spacing w:line="360" w:lineRule="auto"/>
        <w:jc w:val="both"/>
      </w:pPr>
      <w:r>
        <w:lastRenderedPageBreak/>
        <w:tab/>
        <w:t xml:space="preserve">Il est aussi nécessaire d’interroger les données démographiques des participants pour contextualiser ou ressortir les possibles corrélations entre les résultats. Ces données </w:t>
      </w:r>
      <w:r w:rsidR="005277A4">
        <w:t xml:space="preserve">ont </w:t>
      </w:r>
      <w:r w:rsidR="005B3740">
        <w:t>inclus le</w:t>
      </w:r>
      <w:r>
        <w:t xml:space="preserve"> genre, l’âge, la région d’exercice, le nombre d’années d’expérience</w:t>
      </w:r>
      <w:r w:rsidR="005B3740">
        <w:t>, le type de structure d’exercice</w:t>
      </w:r>
      <w:r>
        <w:t>. Ces données permettent de vérifier s’il existe des facteurs qui pourrai</w:t>
      </w:r>
      <w:r w:rsidR="004538E6">
        <w:t>ent</w:t>
      </w:r>
      <w:r>
        <w:t xml:space="preserve"> influencer la pratique clinique des participants. Concernant le questionnement du genre, il a été choisi de suivre les recommandations de Van Hove qui insiste sur l’approche inclusive en proposant des modalités de réponses adaptées </w:t>
      </w:r>
      <w:r>
        <w:fldChar w:fldCharType="begin"/>
      </w:r>
      <w:r>
        <w:instrText xml:space="preserve"> ADDIN ZOTERO_ITEM CSL_CITATION {"citationID":"13B3Hhqj","properties":{"formattedCitation":"(Van Hove, 2021)","plainCitation":"(Van Hove, 2021)","noteIndex":0},"citationItems":[{"id":456,"uris":["http://zotero.org/users/10583480/items/QMWFWHVV"],"itemData":{"id":456,"type":"article-journal","title":"Poser la question du genre de manière inclusive","author":[{"family":"Van Hove","given":""}],"issued":{"date-parts":[["2021"]]}}}],"schema":"https://github.com/citation-style-language/schema/raw/master/csl-citation.json"} </w:instrText>
      </w:r>
      <w:r>
        <w:fldChar w:fldCharType="separate"/>
      </w:r>
      <w:r>
        <w:rPr>
          <w:noProof/>
        </w:rPr>
        <w:t>(Van Hove, 2021)</w:t>
      </w:r>
      <w:r>
        <w:fldChar w:fldCharType="end"/>
      </w:r>
      <w:r>
        <w:t xml:space="preserve">. </w:t>
      </w:r>
    </w:p>
    <w:p w14:paraId="1B3ECC5C" w14:textId="300A1DB0" w:rsidR="00010CF6" w:rsidRDefault="00010CF6" w:rsidP="001C18E0">
      <w:pPr>
        <w:spacing w:line="360" w:lineRule="auto"/>
        <w:jc w:val="both"/>
        <w:rPr>
          <w:rFonts w:cstheme="minorHAnsi"/>
          <w:b/>
          <w:bCs/>
          <w:color w:val="000000"/>
        </w:rPr>
      </w:pPr>
      <w:r>
        <w:tab/>
        <w:t>L</w:t>
      </w:r>
      <w:r w:rsidR="005B3740">
        <w:t xml:space="preserve">es sections 3,4 et 5 </w:t>
      </w:r>
      <w:r>
        <w:t>vise</w:t>
      </w:r>
      <w:r w:rsidR="005B3740">
        <w:t>nt</w:t>
      </w:r>
      <w:r>
        <w:t xml:space="preserve"> directement à répondre à la problématique centrale de l’étude : </w:t>
      </w:r>
      <w:r w:rsidRPr="00C0572E">
        <w:rPr>
          <w:rFonts w:cstheme="minorHAnsi"/>
          <w:b/>
          <w:bCs/>
          <w:color w:val="000000"/>
        </w:rPr>
        <w:t>quels sont les tests préférentiellement utilisés par les kinésithérapeutes français pour évaluer l’équilibre des personnes âgées et quels facteurs influencent leur choix</w:t>
      </w:r>
      <w:r>
        <w:rPr>
          <w:rFonts w:cstheme="minorHAnsi"/>
          <w:b/>
          <w:bCs/>
          <w:color w:val="000000"/>
        </w:rPr>
        <w:t> </w:t>
      </w:r>
      <w:r w:rsidRPr="00C0572E">
        <w:rPr>
          <w:rFonts w:cstheme="minorHAnsi"/>
          <w:b/>
          <w:bCs/>
          <w:color w:val="000000"/>
        </w:rPr>
        <w:t>?</w:t>
      </w:r>
      <w:r>
        <w:rPr>
          <w:rFonts w:cstheme="minorHAnsi"/>
          <w:b/>
          <w:bCs/>
          <w:color w:val="000000"/>
        </w:rPr>
        <w:t xml:space="preserve"> </w:t>
      </w:r>
    </w:p>
    <w:p w14:paraId="53329DFE" w14:textId="2A40831E" w:rsidR="00010CF6" w:rsidRDefault="00010CF6" w:rsidP="001C18E0">
      <w:pPr>
        <w:spacing w:line="360" w:lineRule="auto"/>
        <w:jc w:val="both"/>
        <w:rPr>
          <w:rFonts w:cstheme="minorHAnsi"/>
          <w:color w:val="000000"/>
        </w:rPr>
      </w:pPr>
      <w:r>
        <w:rPr>
          <w:rFonts w:cstheme="minorHAnsi"/>
          <w:color w:val="000000"/>
        </w:rPr>
        <w:tab/>
        <w:t xml:space="preserve">Selon Sibley, l’évaluation de l’équilibre repose sur l’analyse de plusieurs composantes (verticalité, contrôle postural, stabilité dynamique, …). Le questionnaire comprends une série de questions intégrant </w:t>
      </w:r>
      <w:r w:rsidR="004538E6">
        <w:rPr>
          <w:rFonts w:cstheme="minorHAnsi"/>
          <w:color w:val="000000"/>
        </w:rPr>
        <w:t>une</w:t>
      </w:r>
      <w:r>
        <w:rPr>
          <w:rFonts w:cstheme="minorHAnsi"/>
          <w:color w:val="000000"/>
        </w:rPr>
        <w:t xml:space="preserve"> échelle de Likert (</w:t>
      </w:r>
      <w:r w:rsidR="005B3740">
        <w:rPr>
          <w:rFonts w:cstheme="minorHAnsi"/>
          <w:color w:val="000000"/>
        </w:rPr>
        <w:t>Systématiquement</w:t>
      </w:r>
      <w:r>
        <w:rPr>
          <w:rFonts w:cstheme="minorHAnsi"/>
          <w:color w:val="000000"/>
        </w:rPr>
        <w:t xml:space="preserve"> ; </w:t>
      </w:r>
      <w:r w:rsidR="005B3740">
        <w:rPr>
          <w:rFonts w:cstheme="minorHAnsi"/>
          <w:color w:val="000000"/>
        </w:rPr>
        <w:t>Fréquemment</w:t>
      </w:r>
      <w:r>
        <w:rPr>
          <w:rFonts w:cstheme="minorHAnsi"/>
          <w:color w:val="000000"/>
        </w:rPr>
        <w:t xml:space="preserve">; </w:t>
      </w:r>
      <w:r w:rsidR="005B3740">
        <w:rPr>
          <w:rFonts w:cstheme="minorHAnsi"/>
          <w:color w:val="000000"/>
        </w:rPr>
        <w:t>Occasionnellement</w:t>
      </w:r>
      <w:r>
        <w:rPr>
          <w:rFonts w:cstheme="minorHAnsi"/>
          <w:color w:val="000000"/>
        </w:rPr>
        <w:t xml:space="preserve">; Rarement ; Jamais ; Je ne </w:t>
      </w:r>
      <w:r w:rsidR="005B3740">
        <w:rPr>
          <w:rFonts w:cstheme="minorHAnsi"/>
          <w:color w:val="000000"/>
        </w:rPr>
        <w:t>sais pas</w:t>
      </w:r>
      <w:r>
        <w:rPr>
          <w:rFonts w:cstheme="minorHAnsi"/>
          <w:color w:val="000000"/>
        </w:rPr>
        <w:t xml:space="preserve">) permettant </w:t>
      </w:r>
      <w:r w:rsidR="004538E6">
        <w:rPr>
          <w:rFonts w:cstheme="minorHAnsi"/>
          <w:color w:val="000000"/>
        </w:rPr>
        <w:t xml:space="preserve">ainsi </w:t>
      </w:r>
      <w:r>
        <w:rPr>
          <w:rFonts w:cstheme="minorHAnsi"/>
          <w:color w:val="000000"/>
        </w:rPr>
        <w:t xml:space="preserve">de recueillir la fréquence d’évaluation clinique de ces composantes par les masseurs-kinésithérapeutes </w:t>
      </w:r>
      <w:r>
        <w:rPr>
          <w:rFonts w:cstheme="minorHAnsi"/>
          <w:color w:val="000000"/>
        </w:rPr>
        <w:fldChar w:fldCharType="begin"/>
      </w:r>
      <w:r w:rsidR="00FB2E3C">
        <w:rPr>
          <w:rFonts w:cstheme="minorHAnsi"/>
          <w:color w:val="000000"/>
        </w:rPr>
        <w:instrText xml:space="preserve"> ADDIN ZOTERO_ITEM CSL_CITATION {"citationID":"MnvrXiRh","properties":{"formattedCitation":"(Berthier, 2023; Sibley et al., 2011b)","plainCitation":"(Berthier, 2023; Sibley et al., 2011b)","noteIndex":0},"citationItems":[{"id":411,"uris":["http://zotero.org/users/10583480/items/XJMLAC33"],"itemData":{"id":411,"type":"article-journal","container-title":"Cursus","language":"fr","note":"publisher: Armand Colin","page":"98-172","source":"shs.cairn.info","title":"Chapitre 5. Le questionnaire","volume":"4","author":[{"family":"Berthier","given":"Nicole"}],"issued":{"date-parts":[["2023",10,11]]}}},{"id":192,"uris":["http://zotero.org/users/10583480/items/EF2PY26V"],"itemData":{"id":192,"type":"article-journal","abstract":"Background\nBalance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Pr>
          <w:rFonts w:cstheme="minorHAnsi"/>
          <w:color w:val="000000"/>
        </w:rPr>
        <w:fldChar w:fldCharType="separate"/>
      </w:r>
      <w:r w:rsidR="00FB2E3C">
        <w:rPr>
          <w:rFonts w:cstheme="minorHAnsi"/>
          <w:noProof/>
          <w:color w:val="000000"/>
        </w:rPr>
        <w:t>(Berthier, 2023; Sibley et al., 2011b)</w:t>
      </w:r>
      <w:r>
        <w:rPr>
          <w:rFonts w:cstheme="minorHAnsi"/>
          <w:color w:val="000000"/>
        </w:rPr>
        <w:fldChar w:fldCharType="end"/>
      </w:r>
      <w:r>
        <w:rPr>
          <w:rFonts w:cstheme="minorHAnsi"/>
          <w:color w:val="000000"/>
        </w:rPr>
        <w:t xml:space="preserve">. </w:t>
      </w:r>
    </w:p>
    <w:p w14:paraId="5FBE8806" w14:textId="7E05A191" w:rsidR="00010CF6" w:rsidRDefault="00010CF6" w:rsidP="001C18E0">
      <w:pPr>
        <w:spacing w:line="360" w:lineRule="auto"/>
        <w:jc w:val="both"/>
        <w:rPr>
          <w:rFonts w:cstheme="minorHAnsi"/>
          <w:color w:val="000000"/>
        </w:rPr>
      </w:pPr>
      <w:r>
        <w:rPr>
          <w:rFonts w:cstheme="minorHAnsi"/>
          <w:color w:val="000000"/>
        </w:rPr>
        <w:tab/>
      </w:r>
      <w:r w:rsidR="005B3740">
        <w:rPr>
          <w:rFonts w:cstheme="minorHAnsi"/>
          <w:color w:val="000000"/>
        </w:rPr>
        <w:t>Selon Sibley</w:t>
      </w:r>
      <w:r>
        <w:rPr>
          <w:rFonts w:cstheme="minorHAnsi"/>
          <w:color w:val="000000"/>
        </w:rPr>
        <w:t xml:space="preserve">, il est </w:t>
      </w:r>
      <w:r w:rsidR="005B3740">
        <w:rPr>
          <w:rFonts w:cstheme="minorHAnsi"/>
          <w:color w:val="000000"/>
        </w:rPr>
        <w:t>également indiqué</w:t>
      </w:r>
      <w:r>
        <w:rPr>
          <w:rFonts w:cstheme="minorHAnsi"/>
          <w:color w:val="000000"/>
        </w:rPr>
        <w:t xml:space="preserve"> de recueillir la fréquence d’utilisation des différents outils cliniques disponibles pour une évaluation non-exhaustive de l’équilibre chez une personne âgée ainsi que les facteurs influençant ce choix. Ces réponses intègrent également l’utilisation d’échelles de Likert </w:t>
      </w:r>
      <w:r>
        <w:rPr>
          <w:rFonts w:cstheme="minorHAnsi"/>
          <w:color w:val="000000"/>
        </w:rPr>
        <w:fldChar w:fldCharType="begin"/>
      </w:r>
      <w:r w:rsidR="00FB2E3C">
        <w:rPr>
          <w:rFonts w:cstheme="minorHAnsi"/>
          <w:color w:val="000000"/>
        </w:rPr>
        <w:instrText xml:space="preserve"> ADDIN ZOTERO_ITEM CSL_CITATION {"citationID":"asiq0Gqv","properties":{"formattedCitation":"(Sibley et al., 2011b)","plainCitation":"(Sibley et al., 2011b)","noteIndex":0},"citationItems":[{"id":192,"uris":["http://zotero.org/users/10583480/items/EF2PY26V"],"itemData":{"id":192,"type":"article-journal","abstract":"Background\nBalance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Pr>
          <w:rFonts w:cstheme="minorHAnsi"/>
          <w:color w:val="000000"/>
        </w:rPr>
        <w:fldChar w:fldCharType="separate"/>
      </w:r>
      <w:r w:rsidR="00FB2E3C">
        <w:rPr>
          <w:rFonts w:cstheme="minorHAnsi"/>
          <w:noProof/>
          <w:color w:val="000000"/>
        </w:rPr>
        <w:t>(Sibley et al., 2011b)</w:t>
      </w:r>
      <w:r>
        <w:rPr>
          <w:rFonts w:cstheme="minorHAnsi"/>
          <w:color w:val="000000"/>
        </w:rPr>
        <w:fldChar w:fldCharType="end"/>
      </w:r>
      <w:r>
        <w:rPr>
          <w:rFonts w:cstheme="minorHAnsi"/>
          <w:color w:val="000000"/>
        </w:rPr>
        <w:t xml:space="preserve">. </w:t>
      </w:r>
    </w:p>
    <w:p w14:paraId="2B7535E2" w14:textId="77777777" w:rsidR="00010CF6" w:rsidRPr="0083514B" w:rsidRDefault="00010CF6" w:rsidP="001C18E0">
      <w:pPr>
        <w:spacing w:line="360" w:lineRule="auto"/>
        <w:jc w:val="both"/>
        <w:rPr>
          <w:rFonts w:cstheme="minorHAnsi"/>
          <w:color w:val="000000"/>
        </w:rPr>
      </w:pPr>
    </w:p>
    <w:p w14:paraId="4AA0E190" w14:textId="77777777" w:rsidR="00010CF6" w:rsidRDefault="00010CF6" w:rsidP="001C18E0">
      <w:pPr>
        <w:pStyle w:val="Titre2"/>
        <w:spacing w:line="360" w:lineRule="auto"/>
        <w:jc w:val="both"/>
        <w:rPr>
          <w:rFonts w:cstheme="minorHAnsi"/>
        </w:rPr>
      </w:pPr>
      <w:bookmarkStart w:id="42" w:name="_Toc197600551"/>
      <w:bookmarkStart w:id="43" w:name="_Toc221704629"/>
      <w:r w:rsidRPr="00C0572E">
        <w:rPr>
          <w:rFonts w:cstheme="minorHAnsi"/>
        </w:rPr>
        <w:t>Les biais</w:t>
      </w:r>
      <w:bookmarkEnd w:id="42"/>
      <w:bookmarkEnd w:id="43"/>
    </w:p>
    <w:p w14:paraId="18FA2F93" w14:textId="35EB2F7B" w:rsidR="00010CF6" w:rsidRDefault="00010CF6" w:rsidP="001C18E0">
      <w:pPr>
        <w:spacing w:line="360" w:lineRule="auto"/>
        <w:jc w:val="both"/>
        <w:rPr>
          <w:rFonts w:cstheme="minorHAnsi"/>
        </w:rPr>
      </w:pPr>
      <w:r>
        <w:tab/>
        <w:t xml:space="preserve">Il est nécessaire de réussir à identifier les potentiels biais auquel il faut faire face afin de pouvoir autant que possible minimiser leur impact sur les résultats de l’étude. Les biais sont définis comme des erreurs systématiques dans la collecte, l’analyse ou l’interprétation des données et qui peuvent compromettre la fiabilité et la validité d’une étude </w:t>
      </w:r>
      <w:r w:rsidRPr="00C0572E">
        <w:rPr>
          <w:rFonts w:cstheme="minorHAnsi"/>
        </w:rPr>
        <w:fldChar w:fldCharType="begin"/>
      </w:r>
      <w:r w:rsidRPr="00C0572E">
        <w:rPr>
          <w:rFonts w:cstheme="minorHAnsi"/>
        </w:rPr>
        <w:instrText xml:space="preserve"> ADDIN ZOTERO_ITEM CSL_CITATION {"citationID":"xNcIe2DZ","properties":{"formattedCitation":"(Choi &amp; Pak, 2004)","plainCitation":"(Choi &amp; Pak, 2004)","noteIndex":0},"citationItems":[{"id":398,"uris":["http://zotero.org/users/10583480/items/XMUWC2BE"],"itemData":{"id":398,"type":"article-journal","abstract":"Bias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administered.","container-title":"Preventing Chronic Disease","ISSN":"1545-1151","issue":"1","journalAbbreviation":"Prev Chronic Dis","note":"PMID: 15670466\nPMCID: PMC1323316","page":"A13","source":"PubMed Central","title":"A Catalog of Biases in Questionnaires","volume":"2","author":[{"family":"Choi","given":"Bernard C.K."},{"family":"Pak","given":"Anita W.P."}],"issued":{"date-parts":[["2004",12,15]]}}}],"schema":"https://github.com/citation-style-language/schema/raw/master/csl-citation.json"} </w:instrText>
      </w:r>
      <w:r w:rsidRPr="00C0572E">
        <w:rPr>
          <w:rFonts w:cstheme="minorHAnsi"/>
        </w:rPr>
        <w:fldChar w:fldCharType="separate"/>
      </w:r>
      <w:r w:rsidRPr="00C0572E">
        <w:rPr>
          <w:rFonts w:cstheme="minorHAnsi"/>
          <w:noProof/>
        </w:rPr>
        <w:t>(Choi &amp; Pak, 2004)</w:t>
      </w:r>
      <w:r w:rsidRPr="00C0572E">
        <w:rPr>
          <w:rFonts w:cstheme="minorHAnsi"/>
        </w:rPr>
        <w:fldChar w:fldCharType="end"/>
      </w:r>
      <w:r>
        <w:rPr>
          <w:rFonts w:cstheme="minorHAnsi"/>
        </w:rPr>
        <w:t xml:space="preserve">. </w:t>
      </w:r>
    </w:p>
    <w:p w14:paraId="50FFE135" w14:textId="77777777" w:rsidR="00010CF6" w:rsidRDefault="00010CF6" w:rsidP="001C18E0">
      <w:pPr>
        <w:spacing w:line="360" w:lineRule="auto"/>
        <w:jc w:val="both"/>
        <w:rPr>
          <w:rFonts w:cstheme="minorHAnsi"/>
        </w:rPr>
      </w:pPr>
      <w:r>
        <w:rPr>
          <w:rFonts w:cstheme="minorHAnsi"/>
        </w:rPr>
        <w:tab/>
        <w:t>Dans le cadre de la réalisation de ce travail, plusieurs biais ont été identifiés. Les solutions pour les contourner ont été réfléchies afin de minimiser autant que possible leur impact.</w:t>
      </w:r>
    </w:p>
    <w:p w14:paraId="036FA10C" w14:textId="0200B6BD" w:rsidR="00010CF6" w:rsidRDefault="00010CF6" w:rsidP="001C18E0">
      <w:pPr>
        <w:spacing w:line="360" w:lineRule="auto"/>
        <w:jc w:val="both"/>
        <w:rPr>
          <w:rFonts w:cstheme="minorHAnsi"/>
        </w:rPr>
      </w:pPr>
      <w:r>
        <w:rPr>
          <w:rFonts w:cstheme="minorHAnsi"/>
        </w:rPr>
        <w:tab/>
        <w:t>Le biais de désirabilité sociale est un biais courant surtout quand l’enquête interroge l’expérience, les connaissances ou la manière de pratiquer un acte.</w:t>
      </w:r>
      <w:r w:rsidR="00881236" w:rsidRPr="00881236">
        <w:rPr>
          <w:rFonts w:ascii="-webkit-standard" w:hAnsi="-webkit-standard"/>
          <w:color w:val="000000"/>
          <w:sz w:val="27"/>
          <w:szCs w:val="27"/>
        </w:rPr>
        <w:t xml:space="preserve"> </w:t>
      </w:r>
      <w:r w:rsidR="00881236" w:rsidRPr="00881236">
        <w:rPr>
          <w:rFonts w:cstheme="minorHAnsi"/>
          <w:color w:val="000000"/>
        </w:rPr>
        <w:t>Il peut amener une personne à</w:t>
      </w:r>
      <w:r w:rsidR="00881236" w:rsidRPr="00881236">
        <w:rPr>
          <w:rStyle w:val="apple-converted-space"/>
          <w:rFonts w:cstheme="minorHAnsi"/>
          <w:b/>
          <w:bCs/>
          <w:color w:val="000000"/>
        </w:rPr>
        <w:t> </w:t>
      </w:r>
      <w:r w:rsidR="00881236" w:rsidRPr="00881236">
        <w:rPr>
          <w:rStyle w:val="lev"/>
          <w:rFonts w:cstheme="minorHAnsi"/>
          <w:b w:val="0"/>
          <w:bCs w:val="0"/>
          <w:color w:val="000000"/>
        </w:rPr>
        <w:t>modifier ses réponses</w:t>
      </w:r>
      <w:r w:rsidR="00881236" w:rsidRPr="00881236">
        <w:rPr>
          <w:rStyle w:val="apple-converted-space"/>
          <w:rFonts w:cstheme="minorHAnsi"/>
          <w:b/>
          <w:bCs/>
          <w:color w:val="000000"/>
        </w:rPr>
        <w:t> </w:t>
      </w:r>
      <w:r w:rsidR="00881236" w:rsidRPr="00881236">
        <w:rPr>
          <w:rFonts w:cstheme="minorHAnsi"/>
          <w:color w:val="000000"/>
        </w:rPr>
        <w:t>pour les rendre</w:t>
      </w:r>
      <w:r w:rsidR="00881236" w:rsidRPr="00881236">
        <w:rPr>
          <w:rStyle w:val="apple-converted-space"/>
          <w:rFonts w:cstheme="minorHAnsi"/>
          <w:b/>
          <w:bCs/>
          <w:color w:val="000000"/>
        </w:rPr>
        <w:t> </w:t>
      </w:r>
      <w:r w:rsidR="00881236" w:rsidRPr="00881236">
        <w:rPr>
          <w:rStyle w:val="lev"/>
          <w:rFonts w:cstheme="minorHAnsi"/>
          <w:b w:val="0"/>
          <w:bCs w:val="0"/>
          <w:color w:val="000000"/>
        </w:rPr>
        <w:t>plus acceptables, valorisées ou conformes aux normes sociales</w:t>
      </w:r>
      <w:r w:rsidR="00881236">
        <w:rPr>
          <w:rFonts w:ascii="-webkit-standard" w:hAnsi="-webkit-standard"/>
          <w:color w:val="000000"/>
          <w:sz w:val="27"/>
          <w:szCs w:val="27"/>
        </w:rPr>
        <w:t xml:space="preserve">. </w:t>
      </w:r>
      <w:r>
        <w:rPr>
          <w:rFonts w:cstheme="minorHAnsi"/>
        </w:rPr>
        <w:t xml:space="preserve">Il peut influencer certains participants à répondre de manière trompeuse en optant pour une </w:t>
      </w:r>
      <w:r>
        <w:rPr>
          <w:rFonts w:cstheme="minorHAnsi"/>
        </w:rPr>
        <w:lastRenderedPageBreak/>
        <w:t>réponse qu’ils perçoivent comme attendue</w:t>
      </w:r>
      <w:r w:rsidR="004538E6">
        <w:rPr>
          <w:rFonts w:cstheme="minorHAnsi"/>
        </w:rPr>
        <w:t xml:space="preserve"> </w:t>
      </w:r>
      <w:r>
        <w:rPr>
          <w:rFonts w:cstheme="minorHAnsi"/>
        </w:rPr>
        <w:t>plutôt que leur expérience réelle. Dans le but de minimiser l’impact de ce biais, il est nécessaire de garantir l’anonymat de</w:t>
      </w:r>
      <w:r w:rsidR="004538E6">
        <w:rPr>
          <w:rFonts w:cstheme="minorHAnsi"/>
        </w:rPr>
        <w:t>s</w:t>
      </w:r>
      <w:r>
        <w:rPr>
          <w:rFonts w:cstheme="minorHAnsi"/>
        </w:rPr>
        <w:t xml:space="preserve"> réponses et d’encourager le participant à répondre sincèrement, exempt de jugement </w:t>
      </w:r>
      <w:r>
        <w:rPr>
          <w:rFonts w:cstheme="minorHAnsi"/>
        </w:rPr>
        <w:fldChar w:fldCharType="begin"/>
      </w:r>
      <w:r>
        <w:rPr>
          <w:rFonts w:cstheme="minorHAnsi"/>
        </w:rPr>
        <w:instrText xml:space="preserve"> ADDIN ZOTERO_ITEM CSL_CITATION {"citationID":"8oOBumDR","properties":{"formattedCitation":"(Coron, 2020)","plainCitation":"(Coron, 2020)","noteIndex":0},"citationItems":[{"id":401,"uris":["http://zotero.org/users/10583480/items/3YKUHKL9"],"itemData":{"id":401,"type":"article-journal","container-title":"BàO La Boîte à Outils","language":"fr","note":"publisher: Dunod\nsection: Psychologie","page":"38-41","source":"shs.cairn.info","title":"Outil 11. Le questionnaire : les biais","title-short":"Outil 11. Le questionnaire","author":[{"family":"Coron","given":"Clotilde"}],"issued":{"date-parts":[["2020"]]}}}],"schema":"https://github.com/citation-style-language/schema/raw/master/csl-citation.json"} </w:instrText>
      </w:r>
      <w:r>
        <w:rPr>
          <w:rFonts w:cstheme="minorHAnsi"/>
        </w:rPr>
        <w:fldChar w:fldCharType="separate"/>
      </w:r>
      <w:r>
        <w:rPr>
          <w:rFonts w:cstheme="minorHAnsi"/>
          <w:noProof/>
        </w:rPr>
        <w:t>(Coron, 2020)</w:t>
      </w:r>
      <w:r>
        <w:rPr>
          <w:rFonts w:cstheme="minorHAnsi"/>
        </w:rPr>
        <w:fldChar w:fldCharType="end"/>
      </w:r>
      <w:r>
        <w:rPr>
          <w:rFonts w:cstheme="minorHAnsi"/>
        </w:rPr>
        <w:t>.</w:t>
      </w:r>
    </w:p>
    <w:p w14:paraId="6C820753" w14:textId="22122530" w:rsidR="00010CF6" w:rsidRDefault="00010CF6" w:rsidP="001C18E0">
      <w:pPr>
        <w:spacing w:line="360" w:lineRule="auto"/>
        <w:jc w:val="both"/>
        <w:rPr>
          <w:rFonts w:cstheme="minorHAnsi"/>
        </w:rPr>
      </w:pPr>
      <w:r>
        <w:rPr>
          <w:rFonts w:cstheme="minorHAnsi"/>
        </w:rPr>
        <w:tab/>
        <w:t xml:space="preserve">Le biais de mesure est la conséquence d’une mauvaise compréhension des questions par le participant. Pour y remédier, chaque question est formulée selon les recommandations de Berthier </w:t>
      </w:r>
      <w:r>
        <w:rPr>
          <w:rFonts w:cstheme="minorHAnsi"/>
        </w:rPr>
        <w:fldChar w:fldCharType="begin"/>
      </w:r>
      <w:r>
        <w:rPr>
          <w:rFonts w:cstheme="minorHAnsi"/>
        </w:rPr>
        <w:instrText xml:space="preserve"> ADDIN ZOTERO_ITEM CSL_CITATION {"citationID":"eQuoUKND","properties":{"formattedCitation":"(Berthier, 2023)","plainCitation":"(Berthier, 2023)","noteIndex":0},"citationItems":[{"id":411,"uris":["http://zotero.org/users/10583480/items/XJMLAC33"],"itemData":{"id":411,"type":"article-journal","container-title":"Cursus","language":"fr","note":"publisher: Armand Colin","page":"98-172","source":"shs.cairn.info","title":"Chapitre 5. Le questionnaire","volume":"4","author":[{"family":"Berthier","given":"Nicole"}],"issued":{"date-parts":[["2023",10,11]]}}}],"schema":"https://github.com/citation-style-language/schema/raw/master/csl-citation.json"} </w:instrText>
      </w:r>
      <w:r>
        <w:rPr>
          <w:rFonts w:cstheme="minorHAnsi"/>
        </w:rPr>
        <w:fldChar w:fldCharType="separate"/>
      </w:r>
      <w:r>
        <w:rPr>
          <w:rFonts w:cstheme="minorHAnsi"/>
          <w:noProof/>
        </w:rPr>
        <w:t>(Berthier, 2023)</w:t>
      </w:r>
      <w:r>
        <w:rPr>
          <w:rFonts w:cstheme="minorHAnsi"/>
        </w:rPr>
        <w:fldChar w:fldCharType="end"/>
      </w:r>
      <w:r>
        <w:rPr>
          <w:rFonts w:cstheme="minorHAnsi"/>
        </w:rPr>
        <w:t xml:space="preserve">. Un pré-test </w:t>
      </w:r>
      <w:r w:rsidR="00881236">
        <w:rPr>
          <w:rFonts w:cstheme="minorHAnsi"/>
        </w:rPr>
        <w:t>a été</w:t>
      </w:r>
      <w:r>
        <w:rPr>
          <w:rFonts w:cstheme="minorHAnsi"/>
        </w:rPr>
        <w:t xml:space="preserve"> également réalisé sur un groupe restreint afin d’identifier les éventuelles ambiguïté du questionnaire. Le pré-test participe à mesurer également le biais de cadrage qui </w:t>
      </w:r>
      <w:r w:rsidR="00881236">
        <w:rPr>
          <w:rFonts w:cstheme="minorHAnsi"/>
        </w:rPr>
        <w:t xml:space="preserve">consiste </w:t>
      </w:r>
      <w:r w:rsidR="004538E6">
        <w:rPr>
          <w:rFonts w:cstheme="minorHAnsi"/>
        </w:rPr>
        <w:t>en</w:t>
      </w:r>
      <w:r w:rsidR="00881236">
        <w:rPr>
          <w:rFonts w:cstheme="minorHAnsi"/>
        </w:rPr>
        <w:t xml:space="preserve"> l’influence des réponses par la manière dont une question est formulée et exposée</w:t>
      </w:r>
      <w:r>
        <w:rPr>
          <w:rFonts w:cstheme="minorHAnsi"/>
        </w:rPr>
        <w:t xml:space="preserve">. </w:t>
      </w:r>
      <w:r w:rsidR="004538E6">
        <w:rPr>
          <w:rFonts w:cstheme="minorHAnsi"/>
        </w:rPr>
        <w:t>C’est pour cela que l</w:t>
      </w:r>
      <w:r>
        <w:rPr>
          <w:rFonts w:cstheme="minorHAnsi"/>
        </w:rPr>
        <w:t>es questions doivent être posé</w:t>
      </w:r>
      <w:r w:rsidR="004538E6">
        <w:rPr>
          <w:rFonts w:cstheme="minorHAnsi"/>
        </w:rPr>
        <w:t>es</w:t>
      </w:r>
      <w:r>
        <w:rPr>
          <w:rFonts w:cstheme="minorHAnsi"/>
        </w:rPr>
        <w:t xml:space="preserve"> de manière neutre.</w:t>
      </w:r>
    </w:p>
    <w:p w14:paraId="535FDD4F" w14:textId="29E89FB5" w:rsidR="00010CF6" w:rsidRDefault="00010CF6" w:rsidP="001C18E0">
      <w:pPr>
        <w:spacing w:line="360" w:lineRule="auto"/>
        <w:jc w:val="both"/>
        <w:rPr>
          <w:rFonts w:cstheme="minorHAnsi"/>
        </w:rPr>
      </w:pPr>
      <w:r>
        <w:rPr>
          <w:rFonts w:cstheme="minorHAnsi"/>
        </w:rPr>
        <w:tab/>
        <w:t xml:space="preserve">Le biais de sélection représente un risque pour l’étude.  Cela se produit lorsque la population interrogée par l’étude n’est pas représentative de la population cible. Pour réduire </w:t>
      </w:r>
      <w:r w:rsidR="00881236">
        <w:rPr>
          <w:rFonts w:cstheme="minorHAnsi"/>
        </w:rPr>
        <w:t>ce</w:t>
      </w:r>
      <w:r>
        <w:rPr>
          <w:rFonts w:cstheme="minorHAnsi"/>
        </w:rPr>
        <w:t xml:space="preserve"> risque, le questionnaire </w:t>
      </w:r>
      <w:r w:rsidR="00881236">
        <w:rPr>
          <w:rFonts w:cstheme="minorHAnsi"/>
        </w:rPr>
        <w:t xml:space="preserve">a été </w:t>
      </w:r>
      <w:r>
        <w:rPr>
          <w:rFonts w:cstheme="minorHAnsi"/>
        </w:rPr>
        <w:t>diffusé via différentes méthodes de communication.</w:t>
      </w:r>
    </w:p>
    <w:p w14:paraId="1FB9F798" w14:textId="77777777" w:rsidR="00010CF6" w:rsidRDefault="00010CF6" w:rsidP="001C18E0">
      <w:pPr>
        <w:spacing w:line="360" w:lineRule="auto"/>
        <w:jc w:val="both"/>
        <w:rPr>
          <w:rFonts w:cstheme="minorHAnsi"/>
        </w:rPr>
      </w:pPr>
      <w:r>
        <w:rPr>
          <w:rFonts w:cstheme="minorHAnsi"/>
        </w:rPr>
        <w:tab/>
        <w:t xml:space="preserve">Le fait d’identifier les biais n’exclut en aucun cas le fait qu’ils puissent avoir un impact sur l’étude. Cependant, leur compréhension participe à une validité prépondérante de l’enquête </w:t>
      </w:r>
      <w:r>
        <w:rPr>
          <w:rFonts w:cstheme="minorHAnsi"/>
        </w:rPr>
        <w:fldChar w:fldCharType="begin"/>
      </w:r>
      <w:r>
        <w:rPr>
          <w:rFonts w:cstheme="minorHAnsi"/>
        </w:rPr>
        <w:instrText xml:space="preserve"> ADDIN ZOTERO_ITEM CSL_CITATION {"citationID":"Y2EINDrG","properties":{"formattedCitation":"(Choi &amp; Pak, 2004)","plainCitation":"(Choi &amp; Pak, 2004)","noteIndex":0},"citationItems":[{"id":398,"uris":["http://zotero.org/users/10583480/items/XMUWC2BE"],"itemData":{"id":398,"type":"article-journal","abstract":"Bias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administered.","container-title":"Preventing Chronic Disease","ISSN":"1545-1151","issue":"1","journalAbbreviation":"Prev Chronic Dis","note":"PMID: 15670466\nPMCID: PMC1323316","page":"A13","source":"PubMed Central","title":"A Catalog of Biases in Questionnaires","volume":"2","author":[{"family":"Choi","given":"Bernard C.K."},{"family":"Pak","given":"Anita W.P."}],"issued":{"date-parts":[["2004",12,15]]}}}],"schema":"https://github.com/citation-style-language/schema/raw/master/csl-citation.json"} </w:instrText>
      </w:r>
      <w:r>
        <w:rPr>
          <w:rFonts w:cstheme="minorHAnsi"/>
        </w:rPr>
        <w:fldChar w:fldCharType="separate"/>
      </w:r>
      <w:r>
        <w:rPr>
          <w:rFonts w:cstheme="minorHAnsi"/>
          <w:noProof/>
        </w:rPr>
        <w:t>(Choi &amp; Pak, 2004)</w:t>
      </w:r>
      <w:r>
        <w:rPr>
          <w:rFonts w:cstheme="minorHAnsi"/>
        </w:rPr>
        <w:fldChar w:fldCharType="end"/>
      </w:r>
      <w:r>
        <w:rPr>
          <w:rFonts w:cstheme="minorHAnsi"/>
        </w:rPr>
        <w:t>.</w:t>
      </w:r>
    </w:p>
    <w:p w14:paraId="3C5C382B" w14:textId="77777777" w:rsidR="00010CF6" w:rsidRPr="00C0572E" w:rsidRDefault="00010CF6" w:rsidP="001C18E0">
      <w:pPr>
        <w:spacing w:line="360" w:lineRule="auto"/>
        <w:jc w:val="both"/>
        <w:rPr>
          <w:rFonts w:cstheme="minorHAnsi"/>
        </w:rPr>
      </w:pPr>
    </w:p>
    <w:p w14:paraId="38E39B12" w14:textId="77777777" w:rsidR="00010CF6" w:rsidRPr="00983D9E" w:rsidRDefault="00010CF6" w:rsidP="001C18E0">
      <w:pPr>
        <w:pStyle w:val="Titre2"/>
        <w:spacing w:line="360" w:lineRule="auto"/>
        <w:jc w:val="both"/>
        <w:rPr>
          <w:rFonts w:cstheme="minorHAnsi"/>
        </w:rPr>
      </w:pPr>
      <w:bookmarkStart w:id="44" w:name="_Toc197600552"/>
      <w:bookmarkStart w:id="45" w:name="_Toc221704630"/>
      <w:r w:rsidRPr="00983D9E">
        <w:rPr>
          <w:rFonts w:cstheme="minorHAnsi"/>
        </w:rPr>
        <w:t>Pré-test</w:t>
      </w:r>
      <w:bookmarkEnd w:id="44"/>
      <w:bookmarkEnd w:id="45"/>
    </w:p>
    <w:p w14:paraId="0EC0C607" w14:textId="68C92BEA" w:rsidR="00010CF6" w:rsidRDefault="00010CF6" w:rsidP="001C18E0">
      <w:pPr>
        <w:spacing w:line="360" w:lineRule="auto"/>
        <w:jc w:val="both"/>
        <w:rPr>
          <w:rFonts w:cstheme="minorHAnsi"/>
        </w:rPr>
      </w:pPr>
      <w:r>
        <w:rPr>
          <w:rFonts w:cstheme="minorHAnsi"/>
        </w:rPr>
        <w:tab/>
        <w:t xml:space="preserve">Le pré-test d’un questionnaire est le fait de « tester le questionnaire sur une partie de l’échantillon avant son administration à l’échantillon principal » </w:t>
      </w:r>
      <w:r>
        <w:rPr>
          <w:rFonts w:cstheme="minorHAnsi"/>
        </w:rPr>
        <w:fldChar w:fldCharType="begin"/>
      </w:r>
      <w:r>
        <w:rPr>
          <w:rFonts w:cstheme="minorHAnsi"/>
        </w:rPr>
        <w:instrText xml:space="preserve"> ADDIN ZOTERO_ITEM CSL_CITATION {"citationID":"3zSQlF69","properties":{"formattedCitation":"(Corgne et al., 2019)","plainCitation":"(Corgne et al., 2019)","noteIndex":0},"citationItems":[{"id":463,"uris":["http://zotero.org/users/10583480/items/3RKEMKY9"],"itemData":{"id":463,"type":"article-journal","language":"fr","source":"Zotero","title":"Quelles sont les meilleurs méthodes de pré-test d'un questionnaire et pourquoi ce sont les entretiens cognitifs?","author":[{"family":"Corgne","given":"Simon Le"},{"family":"Olivier","given":"Mathieu"},{"family":"Palat","given":"Blazej"}],"issued":{"date-parts":[["2019"]]}}}],"schema":"https://github.com/citation-style-language/schema/raw/master/csl-citation.json"} </w:instrText>
      </w:r>
      <w:r>
        <w:rPr>
          <w:rFonts w:cstheme="minorHAnsi"/>
        </w:rPr>
        <w:fldChar w:fldCharType="separate"/>
      </w:r>
      <w:r>
        <w:rPr>
          <w:rFonts w:cstheme="minorHAnsi"/>
          <w:noProof/>
        </w:rPr>
        <w:t>(Corgne et al., 2019)</w:t>
      </w:r>
      <w:r>
        <w:rPr>
          <w:rFonts w:cstheme="minorHAnsi"/>
        </w:rPr>
        <w:fldChar w:fldCharType="end"/>
      </w:r>
      <w:r>
        <w:rPr>
          <w:rFonts w:cstheme="minorHAnsi"/>
        </w:rPr>
        <w:t>. Cela permet d’optimiser celui-ci afin d’améliorer la qualité des données recueilli</w:t>
      </w:r>
      <w:r w:rsidR="00983D9E">
        <w:rPr>
          <w:rFonts w:cstheme="minorHAnsi"/>
        </w:rPr>
        <w:t>es.</w:t>
      </w:r>
      <w:r>
        <w:rPr>
          <w:rFonts w:cstheme="minorHAnsi"/>
        </w:rPr>
        <w:t xml:space="preserve"> </w:t>
      </w:r>
    </w:p>
    <w:p w14:paraId="1479AEC5" w14:textId="77777777" w:rsidR="00010CF6" w:rsidRDefault="00010CF6" w:rsidP="001C18E0">
      <w:pPr>
        <w:spacing w:line="360" w:lineRule="auto"/>
        <w:jc w:val="both"/>
        <w:rPr>
          <w:rFonts w:cstheme="minorHAnsi"/>
        </w:rPr>
      </w:pPr>
      <w:r>
        <w:rPr>
          <w:rFonts w:cstheme="minorHAnsi"/>
        </w:rPr>
        <w:tab/>
        <w:t>Pour notre étude, il a été choisi de diffuser le pré-test à plusieurs personnes :</w:t>
      </w:r>
    </w:p>
    <w:p w14:paraId="1B328633" w14:textId="77777777" w:rsidR="00010CF6" w:rsidRDefault="00010CF6" w:rsidP="001C18E0">
      <w:pPr>
        <w:pStyle w:val="Paragraphedeliste"/>
        <w:numPr>
          <w:ilvl w:val="0"/>
          <w:numId w:val="14"/>
        </w:numPr>
        <w:spacing w:line="360" w:lineRule="auto"/>
        <w:jc w:val="both"/>
        <w:rPr>
          <w:rFonts w:cstheme="minorHAnsi"/>
        </w:rPr>
      </w:pPr>
      <w:r>
        <w:rPr>
          <w:rFonts w:cstheme="minorHAnsi"/>
        </w:rPr>
        <w:t xml:space="preserve">Deux étudiant de l’IFPEK </w:t>
      </w:r>
    </w:p>
    <w:p w14:paraId="7C5302B4" w14:textId="77777777" w:rsidR="00010CF6" w:rsidRDefault="00010CF6" w:rsidP="001C18E0">
      <w:pPr>
        <w:pStyle w:val="Paragraphedeliste"/>
        <w:numPr>
          <w:ilvl w:val="0"/>
          <w:numId w:val="14"/>
        </w:numPr>
        <w:spacing w:line="360" w:lineRule="auto"/>
        <w:jc w:val="both"/>
        <w:rPr>
          <w:rFonts w:cstheme="minorHAnsi"/>
        </w:rPr>
      </w:pPr>
      <w:r>
        <w:rPr>
          <w:rFonts w:cstheme="minorHAnsi"/>
        </w:rPr>
        <w:t xml:space="preserve">La directrice de mémoire </w:t>
      </w:r>
    </w:p>
    <w:p w14:paraId="179BABBA" w14:textId="77777777" w:rsidR="00010CF6" w:rsidRDefault="00010CF6" w:rsidP="001C18E0">
      <w:pPr>
        <w:pStyle w:val="Paragraphedeliste"/>
        <w:numPr>
          <w:ilvl w:val="0"/>
          <w:numId w:val="14"/>
        </w:numPr>
        <w:spacing w:line="360" w:lineRule="auto"/>
        <w:jc w:val="both"/>
        <w:rPr>
          <w:rFonts w:cstheme="minorHAnsi"/>
        </w:rPr>
      </w:pPr>
      <w:r>
        <w:rPr>
          <w:rFonts w:cstheme="minorHAnsi"/>
        </w:rPr>
        <w:t>Deux masseurs-kinésithérapeutes diplômés d’État (DE)</w:t>
      </w:r>
    </w:p>
    <w:p w14:paraId="4A17CD78" w14:textId="1F0F11C5" w:rsidR="00010CF6" w:rsidRDefault="00010CF6" w:rsidP="001C18E0">
      <w:pPr>
        <w:spacing w:line="360" w:lineRule="auto"/>
        <w:jc w:val="both"/>
        <w:rPr>
          <w:rFonts w:cstheme="minorHAnsi"/>
        </w:rPr>
      </w:pPr>
      <w:r>
        <w:rPr>
          <w:rFonts w:cstheme="minorHAnsi"/>
        </w:rPr>
        <w:tab/>
        <w:t xml:space="preserve">Ce pré-test </w:t>
      </w:r>
      <w:r w:rsidR="00881236">
        <w:rPr>
          <w:rFonts w:cstheme="minorHAnsi"/>
        </w:rPr>
        <w:t xml:space="preserve">a permis d’investiguer </w:t>
      </w:r>
      <w:r>
        <w:rPr>
          <w:rFonts w:cstheme="minorHAnsi"/>
        </w:rPr>
        <w:t>différents aspects du questionnaire tels que </w:t>
      </w:r>
      <w:r>
        <w:rPr>
          <w:rFonts w:cstheme="minorHAnsi"/>
        </w:rPr>
        <w:fldChar w:fldCharType="begin"/>
      </w:r>
      <w:r>
        <w:rPr>
          <w:rFonts w:cstheme="minorHAnsi"/>
        </w:rPr>
        <w:instrText xml:space="preserve"> ADDIN ZOTERO_ITEM CSL_CITATION {"citationID":"60GUw9Ns","properties":{"formattedCitation":"(Corgne et al., 2019)","plainCitation":"(Corgne et al., 2019)","noteIndex":0},"citationItems":[{"id":463,"uris":["http://zotero.org/users/10583480/items/3RKEMKY9"],"itemData":{"id":463,"type":"article-journal","language":"fr","source":"Zotero","title":"Quelles sont les meilleurs méthodes de pré-test d'un questionnaire et pourquoi ce sont les entretiens cognitifs?","author":[{"family":"Corgne","given":"Simon Le"},{"family":"Olivier","given":"Mathieu"},{"family":"Palat","given":"Blazej"}],"issued":{"date-parts":[["2019"]]}}}],"schema":"https://github.com/citation-style-language/schema/raw/master/csl-citation.json"} </w:instrText>
      </w:r>
      <w:r>
        <w:rPr>
          <w:rFonts w:cstheme="minorHAnsi"/>
        </w:rPr>
        <w:fldChar w:fldCharType="separate"/>
      </w:r>
      <w:r>
        <w:rPr>
          <w:rFonts w:cstheme="minorHAnsi"/>
          <w:noProof/>
        </w:rPr>
        <w:t>(Corgne et al., 2019)</w:t>
      </w:r>
      <w:r>
        <w:rPr>
          <w:rFonts w:cstheme="minorHAnsi"/>
        </w:rPr>
        <w:fldChar w:fldCharType="end"/>
      </w:r>
      <w:r>
        <w:rPr>
          <w:rFonts w:cstheme="minorHAnsi"/>
        </w:rPr>
        <w:t>:</w:t>
      </w:r>
    </w:p>
    <w:p w14:paraId="0E3258B4" w14:textId="77777777" w:rsidR="00010CF6" w:rsidRDefault="00010CF6" w:rsidP="001C18E0">
      <w:pPr>
        <w:pStyle w:val="Paragraphedeliste"/>
        <w:numPr>
          <w:ilvl w:val="0"/>
          <w:numId w:val="14"/>
        </w:numPr>
        <w:spacing w:line="360" w:lineRule="auto"/>
        <w:jc w:val="both"/>
        <w:rPr>
          <w:rFonts w:cstheme="minorHAnsi"/>
        </w:rPr>
      </w:pPr>
      <w:r>
        <w:rPr>
          <w:rFonts w:cstheme="minorHAnsi"/>
        </w:rPr>
        <w:t xml:space="preserve">La compréhension des questions </w:t>
      </w:r>
    </w:p>
    <w:p w14:paraId="3C819847" w14:textId="77777777" w:rsidR="00010CF6" w:rsidRDefault="00010CF6" w:rsidP="001C18E0">
      <w:pPr>
        <w:pStyle w:val="Paragraphedeliste"/>
        <w:numPr>
          <w:ilvl w:val="0"/>
          <w:numId w:val="14"/>
        </w:numPr>
        <w:spacing w:line="360" w:lineRule="auto"/>
        <w:jc w:val="both"/>
        <w:rPr>
          <w:rFonts w:cstheme="minorHAnsi"/>
        </w:rPr>
      </w:pPr>
      <w:r>
        <w:rPr>
          <w:rFonts w:cstheme="minorHAnsi"/>
        </w:rPr>
        <w:t xml:space="preserve">La pertinence des questions en vue de répondre à la problématique posée </w:t>
      </w:r>
    </w:p>
    <w:p w14:paraId="52BBC00C" w14:textId="77777777" w:rsidR="00010CF6" w:rsidRDefault="00010CF6" w:rsidP="001C18E0">
      <w:pPr>
        <w:pStyle w:val="Paragraphedeliste"/>
        <w:numPr>
          <w:ilvl w:val="0"/>
          <w:numId w:val="14"/>
        </w:numPr>
        <w:spacing w:line="360" w:lineRule="auto"/>
        <w:jc w:val="both"/>
        <w:rPr>
          <w:rFonts w:cstheme="minorHAnsi"/>
        </w:rPr>
      </w:pPr>
      <w:r>
        <w:rPr>
          <w:rFonts w:cstheme="minorHAnsi"/>
        </w:rPr>
        <w:t>La logique d’ordre des questions</w:t>
      </w:r>
    </w:p>
    <w:p w14:paraId="07C3678D" w14:textId="77777777" w:rsidR="00010CF6" w:rsidRDefault="00010CF6" w:rsidP="001C18E0">
      <w:pPr>
        <w:pStyle w:val="Paragraphedeliste"/>
        <w:numPr>
          <w:ilvl w:val="0"/>
          <w:numId w:val="14"/>
        </w:numPr>
        <w:spacing w:line="360" w:lineRule="auto"/>
        <w:jc w:val="both"/>
        <w:rPr>
          <w:rFonts w:cstheme="minorHAnsi"/>
        </w:rPr>
      </w:pPr>
      <w:r>
        <w:rPr>
          <w:rFonts w:cstheme="minorHAnsi"/>
        </w:rPr>
        <w:t xml:space="preserve">Le temps de remplissage </w:t>
      </w:r>
    </w:p>
    <w:p w14:paraId="71F4265E" w14:textId="5352B0CB" w:rsidR="00881236" w:rsidRDefault="00881236" w:rsidP="001C18E0">
      <w:pPr>
        <w:pStyle w:val="Paragraphedeliste"/>
        <w:numPr>
          <w:ilvl w:val="0"/>
          <w:numId w:val="14"/>
        </w:numPr>
        <w:spacing w:line="360" w:lineRule="auto"/>
        <w:jc w:val="both"/>
        <w:rPr>
          <w:rFonts w:cstheme="minorHAnsi"/>
        </w:rPr>
      </w:pPr>
      <w:r>
        <w:rPr>
          <w:rFonts w:cstheme="minorHAnsi"/>
        </w:rPr>
        <w:t>La fonctionnalité technique (questionnaire en ligne)</w:t>
      </w:r>
    </w:p>
    <w:p w14:paraId="30B3E3F3" w14:textId="050DAB90" w:rsidR="00010CF6" w:rsidRDefault="00010CF6" w:rsidP="001C18E0">
      <w:pPr>
        <w:spacing w:line="360" w:lineRule="auto"/>
        <w:jc w:val="both"/>
        <w:rPr>
          <w:rFonts w:cstheme="minorHAnsi"/>
        </w:rPr>
      </w:pPr>
      <w:r>
        <w:rPr>
          <w:rFonts w:cstheme="minorHAnsi"/>
        </w:rPr>
        <w:lastRenderedPageBreak/>
        <w:t xml:space="preserve">Un entretien </w:t>
      </w:r>
      <w:r w:rsidR="00881236">
        <w:rPr>
          <w:rFonts w:cstheme="minorHAnsi"/>
        </w:rPr>
        <w:t xml:space="preserve">a </w:t>
      </w:r>
      <w:r>
        <w:rPr>
          <w:rFonts w:cstheme="minorHAnsi"/>
        </w:rPr>
        <w:t xml:space="preserve">ensuite réalisé avec les participants afin d’avoir un retour objectif sur le questionnaire. Cela </w:t>
      </w:r>
      <w:r w:rsidR="00881236">
        <w:rPr>
          <w:rFonts w:cstheme="minorHAnsi"/>
        </w:rPr>
        <w:t>a permis</w:t>
      </w:r>
      <w:r>
        <w:rPr>
          <w:rFonts w:cstheme="minorHAnsi"/>
        </w:rPr>
        <w:t xml:space="preserve">, par la suite, d’effectuer les retouches nécessaires pour remédier aux problèmes émergents. </w:t>
      </w:r>
    </w:p>
    <w:p w14:paraId="30F77761" w14:textId="77777777" w:rsidR="003D6554" w:rsidRPr="00065DD4" w:rsidRDefault="003D6554" w:rsidP="001C18E0">
      <w:pPr>
        <w:spacing w:line="360" w:lineRule="auto"/>
        <w:jc w:val="both"/>
        <w:rPr>
          <w:rFonts w:cstheme="minorHAnsi"/>
        </w:rPr>
      </w:pPr>
    </w:p>
    <w:p w14:paraId="003CB653" w14:textId="77777777" w:rsidR="00010CF6" w:rsidRPr="00C0572E" w:rsidRDefault="00010CF6" w:rsidP="001C18E0">
      <w:pPr>
        <w:pStyle w:val="Titre2"/>
        <w:spacing w:line="360" w:lineRule="auto"/>
        <w:jc w:val="both"/>
        <w:rPr>
          <w:rFonts w:cstheme="minorHAnsi"/>
        </w:rPr>
      </w:pPr>
      <w:bookmarkStart w:id="46" w:name="_Toc197600553"/>
      <w:bookmarkStart w:id="47" w:name="_Toc221704631"/>
      <w:r w:rsidRPr="00C0572E">
        <w:rPr>
          <w:rFonts w:cstheme="minorHAnsi"/>
        </w:rPr>
        <w:t>Diffusion</w:t>
      </w:r>
      <w:bookmarkEnd w:id="46"/>
      <w:bookmarkEnd w:id="47"/>
    </w:p>
    <w:p w14:paraId="342B47D9" w14:textId="787B6463" w:rsidR="00010CF6" w:rsidRPr="00C0572E" w:rsidRDefault="00010CF6" w:rsidP="001C18E0">
      <w:pPr>
        <w:spacing w:line="360" w:lineRule="auto"/>
        <w:ind w:firstLine="284"/>
        <w:jc w:val="both"/>
        <w:rPr>
          <w:rFonts w:cstheme="minorHAnsi"/>
        </w:rPr>
      </w:pPr>
      <w:r w:rsidRPr="00C0572E">
        <w:rPr>
          <w:rFonts w:cstheme="minorHAnsi"/>
        </w:rPr>
        <w:t xml:space="preserve">La diffusion du questionnaire doit être réfléchie et anticipée afin de potentialiser le nombre de réponses obtenue. </w:t>
      </w:r>
    </w:p>
    <w:p w14:paraId="7B70246D" w14:textId="76134462" w:rsidR="00010CF6" w:rsidRDefault="00010CF6" w:rsidP="001C18E0">
      <w:pPr>
        <w:spacing w:line="360" w:lineRule="auto"/>
        <w:ind w:firstLine="284"/>
        <w:jc w:val="both"/>
        <w:rPr>
          <w:rFonts w:cstheme="minorHAnsi"/>
        </w:rPr>
      </w:pPr>
      <w:r w:rsidRPr="00C0572E">
        <w:rPr>
          <w:rFonts w:cstheme="minorHAnsi"/>
        </w:rPr>
        <w:t xml:space="preserve">Le questionnaire </w:t>
      </w:r>
      <w:r w:rsidR="009522F4">
        <w:rPr>
          <w:rFonts w:cstheme="minorHAnsi"/>
        </w:rPr>
        <w:t xml:space="preserve">a été </w:t>
      </w:r>
      <w:r w:rsidRPr="00C0572E">
        <w:rPr>
          <w:rFonts w:cstheme="minorHAnsi"/>
        </w:rPr>
        <w:t xml:space="preserve">diffusé </w:t>
      </w:r>
      <w:r>
        <w:rPr>
          <w:rFonts w:cstheme="minorHAnsi"/>
        </w:rPr>
        <w:t>entre les</w:t>
      </w:r>
      <w:r w:rsidRPr="00C0572E">
        <w:rPr>
          <w:rFonts w:cstheme="minorHAnsi"/>
        </w:rPr>
        <w:t xml:space="preserve"> mois de </w:t>
      </w:r>
      <w:r w:rsidR="009522F4">
        <w:rPr>
          <w:rFonts w:cstheme="minorHAnsi"/>
        </w:rPr>
        <w:t>septembre</w:t>
      </w:r>
      <w:r>
        <w:rPr>
          <w:rFonts w:cstheme="minorHAnsi"/>
        </w:rPr>
        <w:t xml:space="preserve"> et décembre 2025. Cette période permet une meilleure disponibilité des professionnels (a</w:t>
      </w:r>
      <w:r w:rsidR="009522F4">
        <w:rPr>
          <w:rFonts w:cstheme="minorHAnsi"/>
        </w:rPr>
        <w:t>près</w:t>
      </w:r>
      <w:r>
        <w:rPr>
          <w:rFonts w:cstheme="minorHAnsi"/>
        </w:rPr>
        <w:t xml:space="preserve"> la période estivale) mais aussi un temps d’analyse plus conséquent par la suite. </w:t>
      </w:r>
    </w:p>
    <w:p w14:paraId="18325499" w14:textId="7145FAC2" w:rsidR="00010CF6" w:rsidRDefault="00010CF6" w:rsidP="001C18E0">
      <w:pPr>
        <w:spacing w:line="360" w:lineRule="auto"/>
        <w:jc w:val="both"/>
        <w:rPr>
          <w:rFonts w:cstheme="minorHAnsi"/>
        </w:rPr>
      </w:pPr>
      <w:r>
        <w:rPr>
          <w:rFonts w:cstheme="minorHAnsi"/>
        </w:rPr>
        <w:t xml:space="preserve">Plusieurs canaux de diffusion </w:t>
      </w:r>
      <w:r w:rsidR="009522F4">
        <w:rPr>
          <w:rFonts w:cstheme="minorHAnsi"/>
        </w:rPr>
        <w:t>ont été</w:t>
      </w:r>
      <w:r>
        <w:rPr>
          <w:rFonts w:cstheme="minorHAnsi"/>
        </w:rPr>
        <w:t xml:space="preserve"> utilisés</w:t>
      </w:r>
      <w:r w:rsidR="009522F4">
        <w:rPr>
          <w:rFonts w:cstheme="minorHAnsi"/>
        </w:rPr>
        <w:t xml:space="preserve"> </w:t>
      </w:r>
      <w:r w:rsidR="009522F4">
        <w:rPr>
          <w:rFonts w:cstheme="minorHAnsi"/>
        </w:rPr>
        <w:fldChar w:fldCharType="begin"/>
      </w:r>
      <w:r w:rsidR="009522F4">
        <w:rPr>
          <w:rFonts w:cstheme="minorHAnsi"/>
        </w:rPr>
        <w:instrText xml:space="preserve"> ADDIN ZOTERO_ITEM CSL_CITATION {"citationID":"JhXxQhIp","properties":{"formattedCitation":"(St\\uc0\\u233{}phane Ganassali, 2014)","plainCitation":"(Stéphane Ganassali, 2014)","noteIndex":0},"citationItems":[{"id":556,"uris":["http://zotero.org/users/10583480/items/CGHBU3DZ"],"itemData":{"id":556,"type":"article-journal","title":"Les différents modes de diffusion d’un questionnaire","author":[{"literal":"Stéphane Ganassali"}],"issued":{"date-parts":[["2014"]]}}}],"schema":"https://github.com/citation-style-language/schema/raw/master/csl-citation.json"} </w:instrText>
      </w:r>
      <w:r w:rsidR="009522F4">
        <w:rPr>
          <w:rFonts w:cstheme="minorHAnsi"/>
        </w:rPr>
        <w:fldChar w:fldCharType="separate"/>
      </w:r>
      <w:r w:rsidR="009522F4" w:rsidRPr="009522F4">
        <w:rPr>
          <w:rFonts w:ascii="Calibri" w:cs="Calibri"/>
          <w:szCs w:val="24"/>
        </w:rPr>
        <w:t xml:space="preserve">(Stéphane </w:t>
      </w:r>
      <w:proofErr w:type="spellStart"/>
      <w:r w:rsidR="009522F4" w:rsidRPr="009522F4">
        <w:rPr>
          <w:rFonts w:ascii="Calibri" w:cs="Calibri"/>
          <w:szCs w:val="24"/>
        </w:rPr>
        <w:t>Ganassali</w:t>
      </w:r>
      <w:proofErr w:type="spellEnd"/>
      <w:r w:rsidR="009522F4" w:rsidRPr="009522F4">
        <w:rPr>
          <w:rFonts w:ascii="Calibri" w:cs="Calibri"/>
          <w:szCs w:val="24"/>
        </w:rPr>
        <w:t>, 2014)</w:t>
      </w:r>
      <w:r w:rsidR="009522F4">
        <w:rPr>
          <w:rFonts w:cstheme="minorHAnsi"/>
        </w:rPr>
        <w:fldChar w:fldCharType="end"/>
      </w:r>
      <w:r>
        <w:rPr>
          <w:rFonts w:cstheme="minorHAnsi"/>
        </w:rPr>
        <w:t xml:space="preserve"> : </w:t>
      </w:r>
    </w:p>
    <w:p w14:paraId="5DE433BE" w14:textId="77777777" w:rsidR="00010CF6" w:rsidRDefault="00010CF6" w:rsidP="001C18E0">
      <w:pPr>
        <w:pStyle w:val="Paragraphedeliste"/>
        <w:numPr>
          <w:ilvl w:val="0"/>
          <w:numId w:val="14"/>
        </w:numPr>
        <w:spacing w:line="360" w:lineRule="auto"/>
        <w:jc w:val="both"/>
      </w:pPr>
      <w:r>
        <w:t xml:space="preserve">Réseaux professionnels </w:t>
      </w:r>
    </w:p>
    <w:p w14:paraId="16A1E8C7" w14:textId="2CAB9D63" w:rsidR="00010CF6" w:rsidRDefault="00010CF6" w:rsidP="001C18E0">
      <w:pPr>
        <w:pStyle w:val="Paragraphedeliste"/>
        <w:numPr>
          <w:ilvl w:val="0"/>
          <w:numId w:val="14"/>
        </w:numPr>
        <w:spacing w:line="360" w:lineRule="auto"/>
        <w:jc w:val="both"/>
      </w:pPr>
      <w:r>
        <w:t xml:space="preserve">Mail </w:t>
      </w:r>
      <w:r w:rsidR="009522F4">
        <w:t xml:space="preserve">des CPTS, de l’ordre, des associations ou syndicats </w:t>
      </w:r>
    </w:p>
    <w:p w14:paraId="5C6BCB38" w14:textId="77777777" w:rsidR="00010CF6" w:rsidRDefault="00010CF6" w:rsidP="001C18E0">
      <w:pPr>
        <w:pStyle w:val="Paragraphedeliste"/>
        <w:numPr>
          <w:ilvl w:val="0"/>
          <w:numId w:val="14"/>
        </w:numPr>
        <w:spacing w:line="360" w:lineRule="auto"/>
        <w:jc w:val="both"/>
      </w:pPr>
      <w:r>
        <w:t xml:space="preserve">Bouche-à-oreille professionnel </w:t>
      </w:r>
    </w:p>
    <w:p w14:paraId="2E6014A3" w14:textId="77777777" w:rsidR="00010CF6" w:rsidRDefault="00010CF6" w:rsidP="001C18E0">
      <w:pPr>
        <w:spacing w:line="360" w:lineRule="auto"/>
        <w:jc w:val="both"/>
      </w:pPr>
    </w:p>
    <w:p w14:paraId="37047D45" w14:textId="634FB04C" w:rsidR="00010CF6" w:rsidRPr="00D95093" w:rsidRDefault="00010CF6" w:rsidP="001C18E0">
      <w:pPr>
        <w:spacing w:before="100" w:beforeAutospacing="1" w:after="100" w:afterAutospacing="1" w:line="360" w:lineRule="auto"/>
        <w:jc w:val="both"/>
        <w:rPr>
          <w:rFonts w:eastAsia="Times New Roman" w:cstheme="minorHAnsi"/>
          <w:color w:val="000000"/>
          <w:lang w:eastAsia="fr-FR"/>
        </w:rPr>
      </w:pPr>
      <w:r>
        <w:tab/>
      </w:r>
      <w:r>
        <w:rPr>
          <w:rFonts w:eastAsia="Times New Roman" w:cstheme="minorHAnsi"/>
          <w:color w:val="000000"/>
          <w:lang w:eastAsia="fr-FR"/>
        </w:rPr>
        <w:t>L</w:t>
      </w:r>
      <w:r w:rsidRPr="00D95093">
        <w:rPr>
          <w:rFonts w:eastAsia="Times New Roman" w:cstheme="minorHAnsi"/>
          <w:color w:val="000000"/>
          <w:lang w:eastAsia="fr-FR"/>
        </w:rPr>
        <w:t>es réseaux professionnels (forums spécialisés, groupes associatifs, syndicats, plateformes professionnelles) offrent l’avantage d’un accès direct à des professionnels potentiellement sensibilisés à la recherche clinique</w:t>
      </w:r>
      <w:r w:rsidR="00D13C2D">
        <w:rPr>
          <w:rFonts w:eastAsia="Times New Roman" w:cstheme="minorHAnsi"/>
          <w:color w:val="000000"/>
          <w:lang w:eastAsia="fr-FR"/>
        </w:rPr>
        <w:t xml:space="preserve"> </w:t>
      </w:r>
      <w:r w:rsidR="00D13C2D">
        <w:rPr>
          <w:rFonts w:eastAsia="Times New Roman" w:cstheme="minorHAnsi"/>
          <w:color w:val="000000"/>
          <w:lang w:eastAsia="fr-FR"/>
        </w:rPr>
        <w:fldChar w:fldCharType="begin"/>
      </w:r>
      <w:r w:rsidR="00D13C2D">
        <w:rPr>
          <w:rFonts w:eastAsia="Times New Roman" w:cstheme="minorHAnsi"/>
          <w:color w:val="000000"/>
          <w:lang w:eastAsia="fr-FR"/>
        </w:rPr>
        <w:instrText xml:space="preserve"> ADDIN ZOTERO_ITEM CSL_CITATION {"citationID":"Om3bKodM","properties":{"formattedCitation":"(Krebs et al., 2021)","plainCitation":"(Krebs et al., 2021)","noteIndex":0},"citationItems":[{"id":557,"uris":["http://zotero.org/users/10583480/items/GSHRM47A"],"itemData":{"id":557,"type":"article-journal","abstract":"In health services research, the recruitment of patients is oftentimes conducted by community-based healthcare providers. Therefore, the recruitment of these healthcare providers is a crucial prerequisite for successful patient recruitment. However, recruiting community-based healthcare providers poses a major challenge and little is known about its influencing factors. This qualitative study is conducted alongside a health services research intervention trial. The aim of the study is to investigate facilitators and barriers for the recruitment of community-based healthcare providers. A qualitative text analysis of documents and semi-structured interviews with recruiting staff is performed. An inductive–deductive category-based approach is used. Our findings identify intrinsic motivation and interest in the trial’s aims and goals as important facilitating factors in healthcare provider recruitment. Beyond that, extrinsic motivation generated through financial incentives or collegial obligation emerged as a conflicting strategy. While extrinsic motivation might aid in the initial enrollment of healthcare providers, it rarely resulted in active trial participation in the long run. Therefore, extrinsic motivational factors should be handled with care when recruiting healthcare providers for health services research intervention trials.","container-title":"International Journal of Environmental Research and Public Health","DOI":"10.3390/ijerph181910521","ISSN":"1661-7827","issue":"19","journalAbbreviation":"Int J Environ Res Public Health","note":"PMID: 34639820\nPMCID: PMC8508262","page":"10521","source":"PubMed Central","title":"Recruitment in Health Services Research—A Study on Facilitators and Barriers for the Recruitment of Community-Based Healthcare Providers","volume":"18","author":[{"family":"Krebs","given":"Franziska"},{"family":"Lorenz","given":"Laura"},{"family":"Nawabi","given":"Farah"},{"family":"Lück","given":"Isabel"},{"family":"Bau","given":"Anne-Madeleine"},{"family":"Alayli","given":"Adrienne"},{"family":"Stock","given":"Stephanie"}],"issued":{"date-parts":[["2021",10,7]]}}}],"schema":"https://github.com/citation-style-language/schema/raw/master/csl-citation.json"} </w:instrText>
      </w:r>
      <w:r w:rsidR="00D13C2D">
        <w:rPr>
          <w:rFonts w:eastAsia="Times New Roman" w:cstheme="minorHAnsi"/>
          <w:color w:val="000000"/>
          <w:lang w:eastAsia="fr-FR"/>
        </w:rPr>
        <w:fldChar w:fldCharType="separate"/>
      </w:r>
      <w:r w:rsidR="00D13C2D">
        <w:rPr>
          <w:rFonts w:eastAsia="Times New Roman" w:cstheme="minorHAnsi"/>
          <w:noProof/>
          <w:color w:val="000000"/>
          <w:lang w:eastAsia="fr-FR"/>
        </w:rPr>
        <w:t>(Krebs et al., 2021)</w:t>
      </w:r>
      <w:r w:rsidR="00D13C2D">
        <w:rPr>
          <w:rFonts w:eastAsia="Times New Roman" w:cstheme="minorHAnsi"/>
          <w:color w:val="000000"/>
          <w:lang w:eastAsia="fr-FR"/>
        </w:rPr>
        <w:fldChar w:fldCharType="end"/>
      </w:r>
      <w:r w:rsidRPr="00D95093">
        <w:rPr>
          <w:rFonts w:eastAsia="Times New Roman" w:cstheme="minorHAnsi"/>
          <w:color w:val="000000"/>
          <w:lang w:eastAsia="fr-FR"/>
        </w:rPr>
        <w:t xml:space="preserve">. Cette méthode permet une diffusion rapide et ciblée. </w:t>
      </w:r>
      <w:r>
        <w:rPr>
          <w:rFonts w:eastAsia="Times New Roman" w:cstheme="minorHAnsi"/>
          <w:color w:val="000000"/>
          <w:lang w:eastAsia="fr-FR"/>
        </w:rPr>
        <w:t xml:space="preserve">En revanche, </w:t>
      </w:r>
      <w:r w:rsidRPr="00D95093">
        <w:rPr>
          <w:rFonts w:eastAsia="Times New Roman" w:cstheme="minorHAnsi"/>
          <w:color w:val="000000"/>
          <w:lang w:eastAsia="fr-FR"/>
        </w:rPr>
        <w:t xml:space="preserve">son efficacité dépend du dynamisme du réseau en question et de la capacité du </w:t>
      </w:r>
      <w:r>
        <w:rPr>
          <w:rFonts w:eastAsia="Times New Roman" w:cstheme="minorHAnsi"/>
          <w:color w:val="000000"/>
          <w:lang w:eastAsia="fr-FR"/>
        </w:rPr>
        <w:t>directeur</w:t>
      </w:r>
      <w:r w:rsidRPr="00D95093">
        <w:rPr>
          <w:rFonts w:eastAsia="Times New Roman" w:cstheme="minorHAnsi"/>
          <w:color w:val="000000"/>
          <w:lang w:eastAsia="fr-FR"/>
        </w:rPr>
        <w:t xml:space="preserve"> à y avoir accès. Certains groupes peuvent être fermés ou peu actifs, limitant ainsi la portée réelle de la diffusion</w:t>
      </w:r>
      <w:r>
        <w:rPr>
          <w:rFonts w:eastAsia="Times New Roman" w:cstheme="minorHAnsi"/>
          <w:color w:val="000000"/>
          <w:lang w:eastAsia="fr-FR"/>
        </w:rPr>
        <w:t xml:space="preserve"> </w:t>
      </w:r>
      <w:r>
        <w:rPr>
          <w:rFonts w:eastAsia="Times New Roman" w:cstheme="minorHAnsi"/>
          <w:color w:val="000000"/>
          <w:lang w:eastAsia="fr-FR"/>
        </w:rPr>
        <w:fldChar w:fldCharType="begin"/>
      </w:r>
      <w:r>
        <w:rPr>
          <w:rFonts w:eastAsia="Times New Roman" w:cstheme="minorHAnsi"/>
          <w:color w:val="000000"/>
          <w:lang w:eastAsia="fr-FR"/>
        </w:rPr>
        <w:instrText xml:space="preserve"> ADDIN ZOTERO_ITEM CSL_CITATION {"citationID":"FhBjbAQZ","properties":{"formattedCitation":"(Scott, 2011)","plainCitation":"(Scott, 2011)","noteIndex":0},"citationItems":[{"id":464,"uris":["http://zotero.org/users/10583480/items/ZT2JKBWR"],"itemData":{"id":464,"type":"article-journal","abstract":"This paper reviews the development of social network analysis and examines its major areas of application in sociology. Current developments, including those from outside the social sciences, are examined and their prospects for advances in substantive knowledge are considered. A concluding section looks at the implications of data mining techniques and highlights the need for interdisciplinary cooperation if significant work is to ensue.","container-title":"Social Network Analysis and Mining","DOI":"10.1007/s13278-010-0012-6","ISSN":"1869-5469","issue":"1","journalAbbreviation":"SOCNET","language":"en","page":"21-26","source":"Springer Link","title":"Social network analysis: developments, advances, and prospects","title-short":"Social network analysis","volume":"1","author":[{"family":"Scott","given":"John"}],"issued":{"date-parts":[["2011",1,1]]}}}],"schema":"https://github.com/citation-style-language/schema/raw/master/csl-citation.json"} </w:instrText>
      </w:r>
      <w:r>
        <w:rPr>
          <w:rFonts w:eastAsia="Times New Roman" w:cstheme="minorHAnsi"/>
          <w:color w:val="000000"/>
          <w:lang w:eastAsia="fr-FR"/>
        </w:rPr>
        <w:fldChar w:fldCharType="separate"/>
      </w:r>
      <w:r>
        <w:rPr>
          <w:rFonts w:eastAsia="Times New Roman" w:cstheme="minorHAnsi"/>
          <w:noProof/>
          <w:color w:val="000000"/>
          <w:lang w:eastAsia="fr-FR"/>
        </w:rPr>
        <w:t>(Scott, 2011)</w:t>
      </w:r>
      <w:r>
        <w:rPr>
          <w:rFonts w:eastAsia="Times New Roman" w:cstheme="minorHAnsi"/>
          <w:color w:val="000000"/>
          <w:lang w:eastAsia="fr-FR"/>
        </w:rPr>
        <w:fldChar w:fldCharType="end"/>
      </w:r>
      <w:r w:rsidRPr="00D95093">
        <w:rPr>
          <w:rFonts w:eastAsia="Times New Roman" w:cstheme="minorHAnsi"/>
          <w:color w:val="000000"/>
          <w:lang w:eastAsia="fr-FR"/>
        </w:rPr>
        <w:t>.</w:t>
      </w:r>
    </w:p>
    <w:p w14:paraId="4246818E" w14:textId="5D15517D" w:rsidR="00010CF6" w:rsidRPr="00D95093" w:rsidRDefault="00010CF6" w:rsidP="001C18E0">
      <w:pPr>
        <w:spacing w:before="100" w:beforeAutospacing="1" w:after="100" w:afterAutospacing="1" w:line="360" w:lineRule="auto"/>
        <w:jc w:val="both"/>
        <w:rPr>
          <w:rFonts w:eastAsia="Times New Roman" w:cstheme="minorHAnsi"/>
          <w:color w:val="000000"/>
          <w:lang w:eastAsia="fr-FR"/>
        </w:rPr>
      </w:pPr>
      <w:r>
        <w:rPr>
          <w:rFonts w:eastAsia="Times New Roman" w:cstheme="minorHAnsi"/>
          <w:color w:val="000000"/>
          <w:lang w:eastAsia="fr-FR"/>
        </w:rPr>
        <w:tab/>
      </w:r>
      <w:r w:rsidRPr="00D95093">
        <w:rPr>
          <w:rFonts w:eastAsia="Times New Roman" w:cstheme="minorHAnsi"/>
          <w:color w:val="000000"/>
          <w:lang w:eastAsia="fr-FR"/>
        </w:rPr>
        <w:t xml:space="preserve">L’envoi du questionnaire par mail, à partir d’adresses récupérées sur des plateformes publiques telles que </w:t>
      </w:r>
      <w:r w:rsidR="00D13C2D">
        <w:rPr>
          <w:rFonts w:eastAsia="Times New Roman" w:cstheme="minorHAnsi"/>
          <w:color w:val="000000"/>
          <w:lang w:eastAsia="fr-FR"/>
        </w:rPr>
        <w:t xml:space="preserve">les sites </w:t>
      </w:r>
      <w:r w:rsidR="000B0279">
        <w:rPr>
          <w:rFonts w:eastAsia="Times New Roman" w:cstheme="minorHAnsi"/>
          <w:color w:val="000000"/>
          <w:lang w:eastAsia="fr-FR"/>
        </w:rPr>
        <w:t>internet</w:t>
      </w:r>
      <w:r w:rsidR="00D13C2D">
        <w:rPr>
          <w:rFonts w:eastAsia="Times New Roman" w:cstheme="minorHAnsi"/>
          <w:color w:val="000000"/>
          <w:lang w:eastAsia="fr-FR"/>
        </w:rPr>
        <w:t xml:space="preserve"> des CPTS ou sur celui du conseil de l’Ordre</w:t>
      </w:r>
      <w:r w:rsidRPr="00D95093">
        <w:rPr>
          <w:rFonts w:eastAsia="Times New Roman" w:cstheme="minorHAnsi"/>
          <w:color w:val="000000"/>
          <w:lang w:eastAsia="fr-FR"/>
        </w:rPr>
        <w:t xml:space="preserve">, permet de toucher un large panel de professionnels à moindre coût. Cette méthode est rapide à mettre en œuvre et </w:t>
      </w:r>
      <w:r>
        <w:rPr>
          <w:rFonts w:eastAsia="Times New Roman" w:cstheme="minorHAnsi"/>
          <w:color w:val="000000"/>
          <w:lang w:eastAsia="fr-FR"/>
        </w:rPr>
        <w:t xml:space="preserve">les relances sont possibles. </w:t>
      </w:r>
      <w:r w:rsidRPr="00D95093">
        <w:rPr>
          <w:rFonts w:eastAsia="Times New Roman" w:cstheme="minorHAnsi"/>
          <w:color w:val="000000"/>
          <w:lang w:eastAsia="fr-FR"/>
        </w:rPr>
        <w:t>Cependant, de nombreux courriels peuvent rester non lus, finir dans les spams ou être perçus comme du démarchage, entraînant un faible taux de réponse</w:t>
      </w:r>
      <w:r>
        <w:rPr>
          <w:rFonts w:eastAsia="Times New Roman" w:cstheme="minorHAnsi"/>
          <w:color w:val="000000"/>
          <w:lang w:eastAsia="fr-FR"/>
        </w:rPr>
        <w:t xml:space="preserve"> </w:t>
      </w:r>
      <w:r>
        <w:rPr>
          <w:rFonts w:eastAsia="Times New Roman" w:cstheme="minorHAnsi"/>
          <w:color w:val="000000"/>
          <w:lang w:eastAsia="fr-FR"/>
        </w:rPr>
        <w:fldChar w:fldCharType="begin"/>
      </w:r>
      <w:r>
        <w:rPr>
          <w:rFonts w:eastAsia="Times New Roman" w:cstheme="minorHAnsi"/>
          <w:color w:val="000000"/>
          <w:lang w:eastAsia="fr-FR"/>
        </w:rPr>
        <w:instrText xml:space="preserve"> ADDIN ZOTERO_ITEM CSL_CITATION {"citationID":"qo4Nkkhy","properties":{"formattedCitation":"(Van Mol, 2017)","plainCitation":"(Van Mol, 2017)","noteIndex":0},"citationItems":[{"id":465,"uris":["http://zotero.org/users/10583480/items/PQUDADAE"],"itemData":{"id":465,"type":"article-journal","abstract":"With the growing possibilities for conducting web surveys, researchers increasingly use such surveys to recruit student samples for research purposes in a wide array of social science disciplines. Simultaneously, higher education students are recurrently asked to complete course and teacher evaluations online and to participate in small-scale research projects of fellow students, potentially leading to survey fatigue among student populations across the globe. One of the most frequently reported effects of over-surveying is a decrease in overall response rates. This situation has significant impacts on the generalizability and external validity of findings based on web surveys. The collection of reliable data is, nevertheless, crucial for researchers as well as educational practitioners and administrators, and strategies should be developed for achieving acceptable response rates. This paper reports on a methodological experiment (N = 15,651) conducted at the University of Antwerp, Belgium, in which possible strategies to improve survey response are explored. I specifically focus on the impact of an extra reminder as well as specific reminder contents on response rates. The results reveal that extra reminders are effective for increasing response rates, but not for diversifying the sample. (PsycINFO Database Record (c) 2017 APA, all rights reserved)","container-title":"International Journal of Social Research Methodology: Theory &amp; Practice","DOI":"10.1080/13645579.2016.1185255","ISSN":"1464-5300","issue":"4","note":"publisher-place: United Kingdom\npublisher: Taylor &amp; Francis","page":"317-327","source":"APA PsycNet","title":"Improving web survey efficiency: The impact of an extra reminder and reminder content on web survey response","title-short":"Improving web survey efficiency","volume":"20","author":[{"family":"Van Mol","given":"Christof"}],"issued":{"date-parts":[["2017"]]}}}],"schema":"https://github.com/citation-style-language/schema/raw/master/csl-citation.json"} </w:instrText>
      </w:r>
      <w:r>
        <w:rPr>
          <w:rFonts w:eastAsia="Times New Roman" w:cstheme="minorHAnsi"/>
          <w:color w:val="000000"/>
          <w:lang w:eastAsia="fr-FR"/>
        </w:rPr>
        <w:fldChar w:fldCharType="separate"/>
      </w:r>
      <w:r>
        <w:rPr>
          <w:rFonts w:eastAsia="Times New Roman" w:cstheme="minorHAnsi"/>
          <w:noProof/>
          <w:color w:val="000000"/>
          <w:lang w:eastAsia="fr-FR"/>
        </w:rPr>
        <w:t>(Van Mol, 2017)</w:t>
      </w:r>
      <w:r>
        <w:rPr>
          <w:rFonts w:eastAsia="Times New Roman" w:cstheme="minorHAnsi"/>
          <w:color w:val="000000"/>
          <w:lang w:eastAsia="fr-FR"/>
        </w:rPr>
        <w:fldChar w:fldCharType="end"/>
      </w:r>
      <w:r w:rsidRPr="00D95093">
        <w:rPr>
          <w:rFonts w:eastAsia="Times New Roman" w:cstheme="minorHAnsi"/>
          <w:color w:val="000000"/>
          <w:lang w:eastAsia="fr-FR"/>
        </w:rPr>
        <w:t>.</w:t>
      </w:r>
    </w:p>
    <w:p w14:paraId="25E4F4FC" w14:textId="77777777" w:rsidR="00010CF6" w:rsidRPr="003D4EEE" w:rsidRDefault="00010CF6" w:rsidP="001C18E0">
      <w:pPr>
        <w:spacing w:before="100" w:beforeAutospacing="1" w:after="100" w:afterAutospacing="1" w:line="360" w:lineRule="auto"/>
        <w:jc w:val="both"/>
        <w:rPr>
          <w:rFonts w:eastAsia="Times New Roman" w:cstheme="minorHAnsi"/>
          <w:color w:val="000000"/>
          <w:lang w:eastAsia="fr-FR"/>
        </w:rPr>
      </w:pPr>
      <w:r>
        <w:rPr>
          <w:rFonts w:eastAsia="Times New Roman" w:cstheme="minorHAnsi"/>
          <w:color w:val="000000"/>
          <w:lang w:eastAsia="fr-FR"/>
        </w:rPr>
        <w:tab/>
        <w:t>L</w:t>
      </w:r>
      <w:r w:rsidRPr="00D95093">
        <w:rPr>
          <w:rFonts w:eastAsia="Times New Roman" w:cstheme="minorHAnsi"/>
          <w:color w:val="000000"/>
          <w:lang w:eastAsia="fr-FR"/>
        </w:rPr>
        <w:t xml:space="preserve">e bouche-à-oreille professionnel constitue une méthode informelle mais souvent efficace. Elle repose sur la mobilisation de contacts existants qui relaient spontanément l’information auprès de leurs collègues. </w:t>
      </w:r>
    </w:p>
    <w:p w14:paraId="5B973D90" w14:textId="7E18AD21" w:rsidR="00010CF6" w:rsidRDefault="00010CF6" w:rsidP="001C18E0">
      <w:pPr>
        <w:spacing w:line="360" w:lineRule="auto"/>
        <w:jc w:val="both"/>
      </w:pPr>
      <w:r>
        <w:lastRenderedPageBreak/>
        <w:tab/>
        <w:t>Un message d’introduction concis et engageant</w:t>
      </w:r>
      <w:r w:rsidR="00D13C2D">
        <w:t xml:space="preserve"> accompagne</w:t>
      </w:r>
      <w:r>
        <w:t xml:space="preserve"> la diffusion du questionnaire pour expliquer l’intérêt et les objectifs de l’étude. Il </w:t>
      </w:r>
      <w:r w:rsidR="00D13C2D">
        <w:t>permet</w:t>
      </w:r>
      <w:r>
        <w:t xml:space="preserve"> d’encourager les participants. L’objectif </w:t>
      </w:r>
      <w:r w:rsidR="00D13C2D">
        <w:t>était</w:t>
      </w:r>
      <w:r>
        <w:t xml:space="preserve"> de recueillir un minimum de 30 réponses et si possible 383 afin d’avoir une représentativité nationale</w:t>
      </w:r>
      <w:r w:rsidR="00D13C2D">
        <w:t>. Des relances ont pu être effectués afin de maximiser les chances de parvenir à ces objectifs</w:t>
      </w:r>
      <w:r>
        <w:t xml:space="preserve">.  Les canaux ayant montré une meilleure efficacité </w:t>
      </w:r>
      <w:r w:rsidR="00D13C2D">
        <w:t>ont été</w:t>
      </w:r>
      <w:r>
        <w:t xml:space="preserve"> privilégiés.</w:t>
      </w:r>
    </w:p>
    <w:p w14:paraId="3926DB8F" w14:textId="0459D8E2" w:rsidR="00DD7881" w:rsidRDefault="00010CF6" w:rsidP="008E0722">
      <w:pPr>
        <w:spacing w:line="360" w:lineRule="auto"/>
        <w:jc w:val="both"/>
      </w:pPr>
      <w:r>
        <w:tab/>
      </w:r>
      <w:r w:rsidR="00DD7881">
        <w:t>Un flyer annonçant l’enquête a également été diffusé :</w:t>
      </w:r>
    </w:p>
    <w:p w14:paraId="4DEBE6EE" w14:textId="77777777" w:rsidR="003D6554" w:rsidRDefault="00DD7881" w:rsidP="003D6554">
      <w:pPr>
        <w:keepNext/>
        <w:spacing w:line="360" w:lineRule="auto"/>
        <w:jc w:val="center"/>
      </w:pPr>
      <w:r>
        <w:rPr>
          <w:noProof/>
        </w:rPr>
        <w:drawing>
          <wp:inline distT="0" distB="0" distL="0" distR="0" wp14:anchorId="13F55242" wp14:editId="026570AA">
            <wp:extent cx="2552987" cy="3612755"/>
            <wp:effectExtent l="0" t="0" r="0" b="0"/>
            <wp:docPr id="682396222" name="Image 1" descr="Une image contenant texte, capture d’écran, habits, person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96222" name="Image 1" descr="Une image contenant texte, capture d’écran, habits, personne&#10;&#10;Le contenu généré par l’IA peut êtr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3278" cy="3627318"/>
                    </a:xfrm>
                    <a:prstGeom prst="rect">
                      <a:avLst/>
                    </a:prstGeom>
                  </pic:spPr>
                </pic:pic>
              </a:graphicData>
            </a:graphic>
          </wp:inline>
        </w:drawing>
      </w:r>
      <w:bookmarkStart w:id="48" w:name="_Toc197600554"/>
    </w:p>
    <w:p w14:paraId="77DCC362" w14:textId="5B31B79E" w:rsidR="00DD7881" w:rsidRDefault="003D6554" w:rsidP="003D6554">
      <w:pPr>
        <w:pStyle w:val="Lgende"/>
        <w:jc w:val="center"/>
      </w:pPr>
      <w:bookmarkStart w:id="49" w:name="_Toc221441345"/>
      <w:r>
        <w:t xml:space="preserve">Figure </w:t>
      </w:r>
      <w:r w:rsidR="006B2AE6">
        <w:fldChar w:fldCharType="begin"/>
      </w:r>
      <w:r w:rsidR="006B2AE6">
        <w:instrText xml:space="preserve"> SEQ Figure \* ARABIC </w:instrText>
      </w:r>
      <w:r w:rsidR="006B2AE6">
        <w:fldChar w:fldCharType="separate"/>
      </w:r>
      <w:r w:rsidR="00B93EA8">
        <w:rPr>
          <w:noProof/>
        </w:rPr>
        <w:t>6</w:t>
      </w:r>
      <w:r w:rsidR="006B2AE6">
        <w:rPr>
          <w:noProof/>
        </w:rPr>
        <w:fldChar w:fldCharType="end"/>
      </w:r>
      <w:r>
        <w:t>: Flyer utilisé pour la diffusion du questionnaire</w:t>
      </w:r>
      <w:bookmarkEnd w:id="49"/>
    </w:p>
    <w:p w14:paraId="1502C8B5" w14:textId="77777777" w:rsidR="001C18E0" w:rsidRPr="00D13C2D" w:rsidRDefault="001C18E0" w:rsidP="001C18E0">
      <w:pPr>
        <w:spacing w:line="360" w:lineRule="auto"/>
        <w:jc w:val="center"/>
      </w:pPr>
    </w:p>
    <w:p w14:paraId="494B5A21" w14:textId="77777777" w:rsidR="00010CF6" w:rsidRPr="00C0572E" w:rsidRDefault="00010CF6" w:rsidP="001C18E0">
      <w:pPr>
        <w:pStyle w:val="Titre2"/>
        <w:spacing w:line="360" w:lineRule="auto"/>
        <w:jc w:val="both"/>
        <w:rPr>
          <w:rFonts w:cstheme="minorHAnsi"/>
        </w:rPr>
      </w:pPr>
      <w:bookmarkStart w:id="50" w:name="_Toc221704632"/>
      <w:r w:rsidRPr="00C0572E">
        <w:rPr>
          <w:rFonts w:cstheme="minorHAnsi"/>
        </w:rPr>
        <w:t>Attentes et prévisions</w:t>
      </w:r>
      <w:bookmarkEnd w:id="48"/>
      <w:bookmarkEnd w:id="50"/>
    </w:p>
    <w:p w14:paraId="6ACD7C7A" w14:textId="3F0083CF" w:rsidR="00010CF6" w:rsidRDefault="00010CF6" w:rsidP="001C18E0">
      <w:pPr>
        <w:spacing w:line="360" w:lineRule="auto"/>
        <w:jc w:val="both"/>
        <w:rPr>
          <w:rFonts w:cstheme="minorHAnsi"/>
        </w:rPr>
      </w:pPr>
      <w:r>
        <w:rPr>
          <w:rFonts w:cstheme="minorHAnsi"/>
        </w:rPr>
        <w:tab/>
        <w:t xml:space="preserve">L’objectif primaire </w:t>
      </w:r>
      <w:r w:rsidR="00983D9E">
        <w:rPr>
          <w:rFonts w:cstheme="minorHAnsi"/>
        </w:rPr>
        <w:t>est</w:t>
      </w:r>
      <w:r>
        <w:rPr>
          <w:rFonts w:cstheme="minorHAnsi"/>
        </w:rPr>
        <w:t xml:space="preserve"> de recueillir un minimum de 30 réponses afin de répondre aux attendus de ce travail d’initiation à la recherche. Malgré tous les moyens mis en œuvre pour atteindre ce résultat, il fa</w:t>
      </w:r>
      <w:r w:rsidR="00983D9E">
        <w:rPr>
          <w:rFonts w:cstheme="minorHAnsi"/>
        </w:rPr>
        <w:t>ut</w:t>
      </w:r>
      <w:r>
        <w:rPr>
          <w:rFonts w:cstheme="minorHAnsi"/>
        </w:rPr>
        <w:t xml:space="preserve"> s’attendre à devoir effectuer des relances fréquemment.</w:t>
      </w:r>
    </w:p>
    <w:p w14:paraId="682D4203" w14:textId="4F4A1237" w:rsidR="00010CF6" w:rsidRDefault="00010CF6" w:rsidP="001C18E0">
      <w:pPr>
        <w:spacing w:line="360" w:lineRule="auto"/>
        <w:jc w:val="both"/>
        <w:rPr>
          <w:rFonts w:cstheme="minorHAnsi"/>
        </w:rPr>
      </w:pPr>
      <w:r>
        <w:rPr>
          <w:rFonts w:cstheme="minorHAnsi"/>
        </w:rPr>
        <w:t xml:space="preserve">Il </w:t>
      </w:r>
      <w:r w:rsidR="00983D9E">
        <w:rPr>
          <w:rFonts w:cstheme="minorHAnsi"/>
        </w:rPr>
        <w:t>est</w:t>
      </w:r>
      <w:r>
        <w:rPr>
          <w:rFonts w:cstheme="minorHAnsi"/>
        </w:rPr>
        <w:t xml:space="preserve"> également attendu</w:t>
      </w:r>
      <w:r w:rsidR="00983D9E">
        <w:rPr>
          <w:rFonts w:cstheme="minorHAnsi"/>
        </w:rPr>
        <w:t xml:space="preserve"> </w:t>
      </w:r>
      <w:r>
        <w:rPr>
          <w:rFonts w:cstheme="minorHAnsi"/>
        </w:rPr>
        <w:t xml:space="preserve">que les participants de l’étude soient répartis sur l’ensemble du territoire français afin de garantir une meilleure représentativité. Elle </w:t>
      </w:r>
      <w:r w:rsidR="00D13C2D">
        <w:rPr>
          <w:rFonts w:cstheme="minorHAnsi"/>
        </w:rPr>
        <w:t>permet</w:t>
      </w:r>
      <w:r>
        <w:rPr>
          <w:rFonts w:cstheme="minorHAnsi"/>
        </w:rPr>
        <w:t xml:space="preserve"> de mettre en évidence une potentielle disparité dans la manière de pratiquer selon la région d’exercice.</w:t>
      </w:r>
    </w:p>
    <w:p w14:paraId="2B4A6A4C" w14:textId="74372AB0" w:rsidR="00010CF6" w:rsidRDefault="00010CF6" w:rsidP="001C18E0">
      <w:pPr>
        <w:spacing w:line="360" w:lineRule="auto"/>
        <w:jc w:val="both"/>
        <w:rPr>
          <w:rFonts w:cstheme="minorHAnsi"/>
        </w:rPr>
      </w:pPr>
      <w:r>
        <w:rPr>
          <w:rFonts w:cstheme="minorHAnsi"/>
        </w:rPr>
        <w:tab/>
        <w:t xml:space="preserve">Le fait de parvenir à identifier les tests les plus couramment utilisés par les kinésithérapeutes français permettant d’évaluer l’équilibre d’une personne âgée </w:t>
      </w:r>
      <w:r w:rsidR="004B01D7">
        <w:rPr>
          <w:rFonts w:cstheme="minorHAnsi"/>
        </w:rPr>
        <w:t>représent</w:t>
      </w:r>
      <w:r w:rsidR="00983D9E">
        <w:rPr>
          <w:rFonts w:cstheme="minorHAnsi"/>
        </w:rPr>
        <w:t>e</w:t>
      </w:r>
      <w:r w:rsidR="004B01D7">
        <w:rPr>
          <w:rFonts w:cstheme="minorHAnsi"/>
        </w:rPr>
        <w:t xml:space="preserve"> </w:t>
      </w:r>
      <w:r>
        <w:rPr>
          <w:rFonts w:cstheme="minorHAnsi"/>
        </w:rPr>
        <w:t xml:space="preserve">une des attentes principales. A ce sujet, il </w:t>
      </w:r>
      <w:r w:rsidR="00983D9E">
        <w:rPr>
          <w:rFonts w:cstheme="minorHAnsi"/>
        </w:rPr>
        <w:t xml:space="preserve">est </w:t>
      </w:r>
      <w:r>
        <w:rPr>
          <w:rFonts w:cstheme="minorHAnsi"/>
        </w:rPr>
        <w:t xml:space="preserve">possible d’anticiper les réponses en </w:t>
      </w:r>
      <w:r w:rsidR="004B01D7">
        <w:rPr>
          <w:rFonts w:cstheme="minorHAnsi"/>
        </w:rPr>
        <w:t>se basant sur la littérature où il est décrit</w:t>
      </w:r>
      <w:r>
        <w:rPr>
          <w:rFonts w:cstheme="minorHAnsi"/>
        </w:rPr>
        <w:t xml:space="preserve"> que ce </w:t>
      </w:r>
      <w:r>
        <w:rPr>
          <w:rFonts w:cstheme="minorHAnsi"/>
        </w:rPr>
        <w:lastRenderedPageBreak/>
        <w:t xml:space="preserve">les tests ayant un temp de passation moindre </w:t>
      </w:r>
      <w:r w:rsidR="004B01D7">
        <w:rPr>
          <w:rFonts w:cstheme="minorHAnsi"/>
        </w:rPr>
        <w:t xml:space="preserve">sont </w:t>
      </w:r>
      <w:r>
        <w:rPr>
          <w:rFonts w:cstheme="minorHAnsi"/>
        </w:rPr>
        <w:t xml:space="preserve">privilégiées, comme le BBS ou le TUG </w:t>
      </w:r>
      <w:r>
        <w:rPr>
          <w:rFonts w:cstheme="minorHAnsi"/>
        </w:rPr>
        <w:fldChar w:fldCharType="begin"/>
      </w:r>
      <w:r w:rsidR="00FB2E3C">
        <w:rPr>
          <w:rFonts w:cstheme="minorHAnsi"/>
        </w:rPr>
        <w:instrText xml:space="preserve"> ADDIN ZOTERO_ITEM CSL_CITATION {"citationID":"wC2jMNjz","properties":{"formattedCitation":"(Sibley, Beauchamp, Van Ooteghem, et al., 2015)","plainCitation":"(Sibley, Beauchamp, Van Ooteghem, et al., 2015)","noteIndex":0},"citationItems":[{"id":156,"uris":["http://zotero.org/users/10583480/items/PDTGEDVF"],"itemData":{"id":156,"type":"article-journal","abstract":"OBJECTIVE: To identify components of postural control included in standardized balance measures for adult populations.\nDATA SOURCES: Electronic searches of MEDLINE, EMBASE, and CINAHL databases using keyword combinations of postural balance/equilibrium, psychometrics/reproducibility of results/predictive value of tests/validation studies, instrument construction/instrument validation, geriatric assessment/disability evaluation, gray literature, and hand searches.\nSTUDY SELECTION: Inclusion criteria were measures with a stated objective to assess balance, adult populations (18y and older), at least 1 psychometric evaluation, 1 standing task, a standardized protocol and evaluation criteria, and published in English. Two reviewers independently identified studies for inclusion. Sixty-six measures were included.\nDATA EXTRACTION: A research assistant extracted descriptive characteristics and 2 reviewers independently coded components of balance in each measure using the Systems Framework for Postural Control, a widely recognized model of balance.\nDATA SYNTHESIS: Components of balance evaluated in these measures were underlying motor systems (100% of measures), anticipatory postural control (71%), dynamic stability (67%), static stability (64%), sensory integration (48%), functional stability limits (27%), reactive postural control (23%), cognitive influences (17%), and verticality (8%). Thirty-four measures evaluated 3 or fewer components of balance, and 1 measure-the Balance Evaluation Systems Test-evaluated all components of balance.\nCONCLUSIONS: Several standardized balance measures provide only partial information on postural control and omit important components of balance related to avoiding falls. As such, the choice of measure(s) may limit the overall interpretation of an individual's balance ability. Continued work is necessary to increase the implementation of comprehensive balance assessment in research and practice.","container-title":"Archives of Physical Medicine and Rehabilitation","DOI":"10.1016/j.apmr.2014.06.021","ISSN":"1532-821X","issue":"1","journalAbbreviation":"Arch Phys Med Rehabil","language":"eng","note":"PMID: 25073007","page":"122-132.e29","source":"PubMed","title":"Using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K."},{"family":"Van Ooteghem","given":"Karen"},{"family":"Straus","given":"Sharon E."},{"family":"Jaglal","given":"Susan B."}],"issued":{"date-parts":[["2015",1]]}}}],"schema":"https://github.com/citation-style-language/schema/raw/master/csl-citation.json"} </w:instrText>
      </w:r>
      <w:r>
        <w:rPr>
          <w:rFonts w:cstheme="minorHAnsi"/>
        </w:rPr>
        <w:fldChar w:fldCharType="separate"/>
      </w:r>
      <w:r w:rsidR="00FB2E3C">
        <w:rPr>
          <w:rFonts w:cstheme="minorHAnsi"/>
          <w:noProof/>
        </w:rPr>
        <w:t>(Sibley, Beauchamp, Van Ooteghem, et al., 2015)</w:t>
      </w:r>
      <w:r>
        <w:rPr>
          <w:rFonts w:cstheme="minorHAnsi"/>
        </w:rPr>
        <w:fldChar w:fldCharType="end"/>
      </w:r>
      <w:r>
        <w:rPr>
          <w:rFonts w:cstheme="minorHAnsi"/>
        </w:rPr>
        <w:t xml:space="preserve">. Le </w:t>
      </w:r>
      <w:proofErr w:type="spellStart"/>
      <w:r>
        <w:rPr>
          <w:rFonts w:cstheme="minorHAnsi"/>
        </w:rPr>
        <w:t>BESTest</w:t>
      </w:r>
      <w:proofErr w:type="spellEnd"/>
      <w:r>
        <w:rPr>
          <w:rFonts w:cstheme="minorHAnsi"/>
        </w:rPr>
        <w:t xml:space="preserve"> pourrait quant à lui être sous-utilisé en raison des conditions nécessaires à son évaluation. </w:t>
      </w:r>
    </w:p>
    <w:p w14:paraId="0CE93023" w14:textId="1FA6966C" w:rsidR="00010CF6" w:rsidRDefault="00010CF6" w:rsidP="001C18E0">
      <w:pPr>
        <w:spacing w:line="360" w:lineRule="auto"/>
        <w:jc w:val="both"/>
        <w:rPr>
          <w:rFonts w:cstheme="minorHAnsi"/>
        </w:rPr>
      </w:pPr>
      <w:r>
        <w:rPr>
          <w:rFonts w:cstheme="minorHAnsi"/>
        </w:rPr>
        <w:tab/>
        <w:t xml:space="preserve">Il </w:t>
      </w:r>
      <w:r w:rsidR="00E63D77">
        <w:rPr>
          <w:rFonts w:cstheme="minorHAnsi"/>
        </w:rPr>
        <w:t>est</w:t>
      </w:r>
      <w:r>
        <w:rPr>
          <w:rFonts w:cstheme="minorHAnsi"/>
        </w:rPr>
        <w:t xml:space="preserve"> espéré que l’enquête </w:t>
      </w:r>
      <w:r w:rsidR="00983D9E">
        <w:rPr>
          <w:rFonts w:cstheme="minorHAnsi"/>
        </w:rPr>
        <w:t>pourrait permettre de</w:t>
      </w:r>
      <w:r w:rsidR="00FA419F">
        <w:rPr>
          <w:rFonts w:cstheme="minorHAnsi"/>
        </w:rPr>
        <w:t xml:space="preserve"> faire</w:t>
      </w:r>
      <w:r>
        <w:rPr>
          <w:rFonts w:cstheme="minorHAnsi"/>
        </w:rPr>
        <w:t xml:space="preserve"> </w:t>
      </w:r>
      <w:r w:rsidR="004B01D7">
        <w:rPr>
          <w:rFonts w:cstheme="minorHAnsi"/>
        </w:rPr>
        <w:t>un état des lieux</w:t>
      </w:r>
      <w:r>
        <w:rPr>
          <w:rFonts w:cstheme="minorHAnsi"/>
        </w:rPr>
        <w:t xml:space="preserve"> </w:t>
      </w:r>
      <w:r w:rsidR="004B01D7">
        <w:rPr>
          <w:rFonts w:cstheme="minorHAnsi"/>
        </w:rPr>
        <w:t>et</w:t>
      </w:r>
      <w:r w:rsidR="00983D9E">
        <w:rPr>
          <w:rFonts w:cstheme="minorHAnsi"/>
        </w:rPr>
        <w:t xml:space="preserve"> d’</w:t>
      </w:r>
      <w:r>
        <w:rPr>
          <w:rFonts w:cstheme="minorHAnsi"/>
        </w:rPr>
        <w:t xml:space="preserve">identifier les facteurs </w:t>
      </w:r>
      <w:r w:rsidR="00983D9E">
        <w:rPr>
          <w:rFonts w:cstheme="minorHAnsi"/>
        </w:rPr>
        <w:t>influençant</w:t>
      </w:r>
      <w:r>
        <w:rPr>
          <w:rFonts w:cstheme="minorHAnsi"/>
        </w:rPr>
        <w:t xml:space="preserve"> cette discordance clinique. Cette enquête pourrait permettre l’élaboration de recommandations ou de guide</w:t>
      </w:r>
      <w:r w:rsidR="00983D9E">
        <w:rPr>
          <w:rFonts w:cstheme="minorHAnsi"/>
        </w:rPr>
        <w:t>s</w:t>
      </w:r>
      <w:r>
        <w:rPr>
          <w:rFonts w:cstheme="minorHAnsi"/>
        </w:rPr>
        <w:t xml:space="preserve"> pratiques futurs. </w:t>
      </w:r>
    </w:p>
    <w:p w14:paraId="68E86DF4" w14:textId="16084F00" w:rsidR="00010CF6" w:rsidRDefault="00010CF6" w:rsidP="001C18E0">
      <w:pPr>
        <w:spacing w:line="360" w:lineRule="auto"/>
        <w:jc w:val="both"/>
        <w:rPr>
          <w:rFonts w:cstheme="minorHAnsi"/>
        </w:rPr>
      </w:pPr>
      <w:r>
        <w:rPr>
          <w:rFonts w:cstheme="minorHAnsi"/>
        </w:rPr>
        <w:tab/>
        <w:t xml:space="preserve">Le niveau de formation ainsi que le temps de passation pourraient être les facteurs les plus </w:t>
      </w:r>
      <w:proofErr w:type="spellStart"/>
      <w:r>
        <w:rPr>
          <w:rFonts w:cstheme="minorHAnsi"/>
        </w:rPr>
        <w:t>influençant</w:t>
      </w:r>
      <w:r w:rsidR="00983D9E">
        <w:rPr>
          <w:rFonts w:cstheme="minorHAnsi"/>
        </w:rPr>
        <w:t>s</w:t>
      </w:r>
      <w:proofErr w:type="spellEnd"/>
      <w:r w:rsidR="004B01D7">
        <w:rPr>
          <w:rFonts w:cstheme="minorHAnsi"/>
        </w:rPr>
        <w:t xml:space="preserve"> </w:t>
      </w:r>
      <w:r w:rsidR="004B01D7">
        <w:rPr>
          <w:rFonts w:cstheme="minorHAnsi"/>
        </w:rPr>
        <w:fldChar w:fldCharType="begin"/>
      </w:r>
      <w:r w:rsidR="004B01D7">
        <w:rPr>
          <w:rFonts w:cstheme="minorHAnsi"/>
        </w:rPr>
        <w:instrText xml:space="preserve"> ADDIN ZOTERO_ITEM CSL_CITATION {"citationID":"zZZXzcBH","properties":{"formattedCitation":"(Leddy et al., 2011)","plainCitation":"(Leddy et al., 2011)","noteIndex":0},"citationItems":[{"id":224,"uris":["http://zotero.org/users/10583480/items/8A2EEA9S"],"itemData":{"id":224,"type":"article-journal","abstract":"Background and Purpose\nThe Balance Evaluation Systems Test (BESTest) has been shown to be a reliable and valid measure of balance in individuals with Parkinson disease (PD). A less time-consuming assessment may increase clinical utility. We compared the discriminative fall risk ability of the Mini-BESTest to that of the BESTest, and determined the reliability and normal distribution of scores for each section of the BESTest and the Mini-BESTest in individuals with PD.\n\nMethods\nEighty individuals with idiopathic PD were assessed using the BESTest and Mini-BESTest. A faller was defined as an individual with 2 or more falls in the prior 6-months. Subsets of individuals were used to determine inter-rater (n=15) and test-retest reliability (n=24).\n\nResults\nThe Mini-BESTest, total BESTest score, and all sections of the BESTest, showed a significant difference between the average scores of fallers and non-fallers. For both the Mini-BESTest and BESTest, inter-rater (intraclass correlation ICC≥0.91) and test-retest (ICC≥0.88) reliability was high. The Mini-BESTest and BESTest were highly correlated (r=0.955). Accuracy of identifying a faller was comparable for the Mini-BESTest and BESTest (area under the ROC plots =0.86 and =0.84, respectively).\n\nDiscussion\nNo specific section of the BESTest captured the primary balance deficit for individuals with PD. The post-test probabilities for discriminating fallers versus non-fallers were comparable-to-slightly stronger when using the Mini-BESTest.\n\nConclusion\nAlthough the Mini-BESTest has fewer than half of the items in the BESTest and takes only 15 minutes to complete, it is as reliable as the BESTest and has comparable-to-slightly greater discriminative properties for identifying fallers in individuals with Parkinson Disease.","container-title":"Journal of neurologic physical therapy : JNPT","DOI":"10.1097/NPT.0b013e31821a620c","ISSN":"1557-0576","issue":"2","journalAbbreviation":"J Neurol Phys Ther","note":"PMID: 21934364\nPMCID: PMC3178037","page":"90-97","source":"PubMed Central","title":"Utility of the Mini-BESTest, BESTest, and BESTest Sections for Balance Assessments in Individuals with Parkinson Disease","volume":"35","author":[{"family":"Leddy","given":"Abigail L."},{"family":"Crowner","given":"Beth E."},{"family":"Earhart","given":"Gammon M."}],"issued":{"date-parts":[["2011",6]]}}}],"schema":"https://github.com/citation-style-language/schema/raw/master/csl-citation.json"} </w:instrText>
      </w:r>
      <w:r w:rsidR="004B01D7">
        <w:rPr>
          <w:rFonts w:cstheme="minorHAnsi"/>
        </w:rPr>
        <w:fldChar w:fldCharType="separate"/>
      </w:r>
      <w:r w:rsidR="004B01D7">
        <w:rPr>
          <w:rFonts w:cstheme="minorHAnsi"/>
          <w:noProof/>
        </w:rPr>
        <w:t>(Leddy et al., 2011)</w:t>
      </w:r>
      <w:r w:rsidR="004B01D7">
        <w:rPr>
          <w:rFonts w:cstheme="minorHAnsi"/>
        </w:rPr>
        <w:fldChar w:fldCharType="end"/>
      </w:r>
      <w:r>
        <w:rPr>
          <w:rFonts w:cstheme="minorHAnsi"/>
        </w:rPr>
        <w:t>. Il se peut que les praticiens ayant suivi une formation accrue sur l’équilibre soient ceux qui a</w:t>
      </w:r>
      <w:r w:rsidR="00983D9E">
        <w:rPr>
          <w:rFonts w:cstheme="minorHAnsi"/>
        </w:rPr>
        <w:t xml:space="preserve">ient </w:t>
      </w:r>
      <w:r>
        <w:rPr>
          <w:rFonts w:cstheme="minorHAnsi"/>
        </w:rPr>
        <w:t>recours à des test plus longs mais ayant une validité scientifique re</w:t>
      </w:r>
      <w:r w:rsidR="002C477A">
        <w:rPr>
          <w:rFonts w:cstheme="minorHAnsi"/>
        </w:rPr>
        <w:t>nforcée</w:t>
      </w:r>
      <w:r>
        <w:rPr>
          <w:rFonts w:cstheme="minorHAnsi"/>
        </w:rPr>
        <w:t xml:space="preserve">, comme le </w:t>
      </w:r>
      <w:proofErr w:type="spellStart"/>
      <w:r w:rsidR="00FB2E3C">
        <w:rPr>
          <w:rFonts w:cstheme="minorHAnsi"/>
        </w:rPr>
        <w:t>BESTest</w:t>
      </w:r>
      <w:proofErr w:type="spellEnd"/>
      <w:r w:rsidR="00FB2E3C">
        <w:rPr>
          <w:rFonts w:cstheme="minorHAnsi"/>
        </w:rPr>
        <w:t xml:space="preserve"> </w:t>
      </w:r>
      <w:r w:rsidR="00FB2E3C">
        <w:rPr>
          <w:rFonts w:cstheme="minorHAnsi"/>
        </w:rPr>
        <w:fldChar w:fldCharType="begin"/>
      </w:r>
      <w:r w:rsidR="00FB2E3C">
        <w:rPr>
          <w:rFonts w:cstheme="minorHAnsi"/>
        </w:rPr>
        <w:instrText xml:space="preserve"> ADDIN ZOTERO_ITEM CSL_CITATION {"citationID":"eUbuKXt6","properties":{"formattedCitation":"(Marques et al., 2016)","plainCitation":"(Marques et al., 2016)","noteIndex":0},"citationItems":[{"id":542,"uris":["http://zotero.org/users/10583480/items/X3EX57D3"],"itemData":{"id":542,"type":"article-journal","abstract":"OBJECTIVES: To assess the reliability, validity, and ability to identify fall status of the Balance Evaluation Systems Test (BESTest), Mini-BESTest, and Brief-BESTest, compared with the Berg Balance Scale (BBS), in older people living in the community.\nDESIGN: Cross-sectional.\nSETTING: Community centers.\nPARTICIPANTS: Older adults (N=122; mean age ± SD, 76±9y).\nINTERVENTIONS: Not applicable.\nMAIN OUTCOME MEASURES: Participants reported on falls history in the preceding year and completed the Activities-Specific Balance Confidence (ABC) Scale. The BBS, BESTest, and the Five Times Sit-To-Stand Test were administered. Interrater (2 physiotherapists) and test-retest relative (48-72h) and absolute reliabilities were explored with the intraclass correlation coefficient (ICC) equation (2,1) and the Bland and Altman method. Minimal detectable changes at the 95% confidence level (MDC95) were established. Validity was assessed by correlating the balance tests with each other and with the ABC Scale (Spearman correlation coefficients-ρ). Receiver operating characteristics assessed the ability of each balance test to differentiate between people with and without a history of falls.\nRESULTS: All balance tests presented good to excellent interrater (ICC=.71-.93) and test-retest (ICC=.50-.82) relative reliability, with no evidence of bias. MDC95 values were 4.6, 9, 3.8, and 4.1 points for the BBS, BESTest, Mini-BESTest, and Brief-BESTest, respectively. All tests were significantly correlated with each other (ρ=.83-.96) and with the ABC Scale (ρ=.46-.61). Acceptable ability to identify fall status (areas under the curve, .71-.78) was found for all tests. Cutoff points were 48.5, 82, 19.5, and 12.5 points for the BBS, BESTest, Mini-BESTest, and Brief-BESTest, respectively.\nCONCLUSIONS: All balance tests are reliable, valid, and able to identify fall status in older people living in the community. Therefore, the choice of which test to use will depend on the level of balance impairment, purpose, and time availability.","container-title":"Archives of Physical Medicine and Rehabilitation","DOI":"10.1016/j.apmr.2016.07.011","ISSN":"1532-821X","issue":"12","journalAbbreviation":"Arch Phys Med Rehabil","language":"eng","note":"PMID: 27497826","page":"2166-2173.e1","source":"PubMed","title":"Reliability, Validity, and Ability to Identify Fall Status of the Balance Evaluation Systems Test, Mini-Balance Evaluation Systems Test, and Brief-Balance Evaluation Systems Test in Older People Living in the Community","volume":"97","author":[{"family":"Marques","given":"Alda"},{"family":"Almeida","given":"Sara"},{"family":"Carvalho","given":"Joana"},{"family":"Cruz","given":"Joana"},{"family":"Oliveira","given":"Ana"},{"family":"Jácome","given":"Cristina"}],"issued":{"date-parts":[["2016",12]]}}}],"schema":"https://github.com/citation-style-language/schema/raw/master/csl-citation.json"} </w:instrText>
      </w:r>
      <w:r w:rsidR="00FB2E3C">
        <w:rPr>
          <w:rFonts w:cstheme="minorHAnsi"/>
        </w:rPr>
        <w:fldChar w:fldCharType="separate"/>
      </w:r>
      <w:r w:rsidR="00FB2E3C">
        <w:rPr>
          <w:rFonts w:cstheme="minorHAnsi"/>
          <w:noProof/>
        </w:rPr>
        <w:t>(Marques et al., 2016)</w:t>
      </w:r>
      <w:r w:rsidR="00FB2E3C">
        <w:rPr>
          <w:rFonts w:cstheme="minorHAnsi"/>
        </w:rPr>
        <w:fldChar w:fldCharType="end"/>
      </w:r>
      <w:r w:rsidR="00FB2E3C">
        <w:rPr>
          <w:rFonts w:cstheme="minorHAnsi"/>
        </w:rPr>
        <w:t>.</w:t>
      </w:r>
      <w:r>
        <w:rPr>
          <w:rFonts w:cstheme="minorHAnsi"/>
        </w:rPr>
        <w:t xml:space="preserve"> </w:t>
      </w:r>
    </w:p>
    <w:p w14:paraId="37CF0F2B" w14:textId="77777777" w:rsidR="00010CF6" w:rsidRPr="00C0572E" w:rsidRDefault="00010CF6" w:rsidP="001C18E0">
      <w:pPr>
        <w:spacing w:line="360" w:lineRule="auto"/>
        <w:jc w:val="both"/>
        <w:rPr>
          <w:rFonts w:cstheme="minorHAnsi"/>
        </w:rPr>
      </w:pPr>
    </w:p>
    <w:p w14:paraId="1D85C32F" w14:textId="77777777" w:rsidR="00010CF6" w:rsidRPr="00C0572E" w:rsidRDefault="00010CF6" w:rsidP="001C18E0">
      <w:pPr>
        <w:pStyle w:val="Titre2"/>
        <w:spacing w:line="360" w:lineRule="auto"/>
        <w:jc w:val="both"/>
        <w:rPr>
          <w:rFonts w:cstheme="minorHAnsi"/>
        </w:rPr>
      </w:pPr>
      <w:bookmarkStart w:id="51" w:name="_Toc197600555"/>
      <w:bookmarkStart w:id="52" w:name="_Toc221704633"/>
      <w:r w:rsidRPr="00C0572E">
        <w:rPr>
          <w:rFonts w:cstheme="minorHAnsi"/>
        </w:rPr>
        <w:t>Analyse des données</w:t>
      </w:r>
      <w:bookmarkEnd w:id="51"/>
      <w:bookmarkEnd w:id="52"/>
    </w:p>
    <w:p w14:paraId="2F9D9E65" w14:textId="65ECE714" w:rsidR="00010CF6" w:rsidRDefault="00010CF6" w:rsidP="001C18E0">
      <w:pPr>
        <w:spacing w:line="360" w:lineRule="auto"/>
        <w:ind w:firstLine="284"/>
        <w:jc w:val="both"/>
        <w:rPr>
          <w:rFonts w:cstheme="minorHAnsi"/>
        </w:rPr>
      </w:pPr>
      <w:r w:rsidRPr="00C0572E">
        <w:rPr>
          <w:rFonts w:cstheme="minorHAnsi"/>
        </w:rPr>
        <w:t xml:space="preserve">L’analyse de données issues du questionnaire </w:t>
      </w:r>
      <w:r w:rsidR="004B01D7">
        <w:rPr>
          <w:rFonts w:cstheme="minorHAnsi"/>
        </w:rPr>
        <w:t>a porté</w:t>
      </w:r>
      <w:r w:rsidRPr="00C0572E">
        <w:rPr>
          <w:rFonts w:cstheme="minorHAnsi"/>
        </w:rPr>
        <w:t xml:space="preserve"> sur des méthodes quantitatives descriptives afin de répondre à la problématique posée.</w:t>
      </w:r>
    </w:p>
    <w:p w14:paraId="4CD244A2" w14:textId="4F187D2C" w:rsidR="00010CF6" w:rsidRDefault="00010CF6" w:rsidP="001C18E0">
      <w:pPr>
        <w:spacing w:line="360" w:lineRule="auto"/>
        <w:ind w:firstLine="284"/>
        <w:jc w:val="both"/>
        <w:rPr>
          <w:rFonts w:cstheme="minorHAnsi"/>
        </w:rPr>
      </w:pPr>
      <w:r w:rsidRPr="00C0572E">
        <w:rPr>
          <w:rFonts w:cstheme="minorHAnsi"/>
        </w:rPr>
        <w:t>Les données recueilli</w:t>
      </w:r>
      <w:r w:rsidR="00983D9E">
        <w:rPr>
          <w:rFonts w:cstheme="minorHAnsi"/>
        </w:rPr>
        <w:t>es</w:t>
      </w:r>
      <w:r w:rsidRPr="00C0572E">
        <w:rPr>
          <w:rFonts w:cstheme="minorHAnsi"/>
        </w:rPr>
        <w:t xml:space="preserve"> à la suite de la diffusion du questionnaire sur Microsoft Forms </w:t>
      </w:r>
      <w:r w:rsidR="004B01D7">
        <w:rPr>
          <w:rFonts w:cstheme="minorHAnsi"/>
        </w:rPr>
        <w:t xml:space="preserve">ont été </w:t>
      </w:r>
      <w:r w:rsidRPr="00C0572E">
        <w:rPr>
          <w:rFonts w:cstheme="minorHAnsi"/>
        </w:rPr>
        <w:t xml:space="preserve">exportées sur le logiciel Excel. Ce logiciel </w:t>
      </w:r>
      <w:r w:rsidR="004B01D7">
        <w:rPr>
          <w:rFonts w:cstheme="minorHAnsi"/>
        </w:rPr>
        <w:t xml:space="preserve">a été </w:t>
      </w:r>
      <w:r w:rsidRPr="00C0572E">
        <w:rPr>
          <w:rFonts w:cstheme="minorHAnsi"/>
        </w:rPr>
        <w:t xml:space="preserve">choisi pour sa facilité d’utilisation et son accès gratuit. Il </w:t>
      </w:r>
      <w:r w:rsidR="004B01D7">
        <w:rPr>
          <w:rFonts w:cstheme="minorHAnsi"/>
        </w:rPr>
        <w:t xml:space="preserve">a été </w:t>
      </w:r>
      <w:r w:rsidRPr="00C0572E">
        <w:rPr>
          <w:rFonts w:cstheme="minorHAnsi"/>
        </w:rPr>
        <w:t xml:space="preserve">suffisant aux analyses qui </w:t>
      </w:r>
      <w:r w:rsidR="004B01D7">
        <w:rPr>
          <w:rFonts w:cstheme="minorHAnsi"/>
        </w:rPr>
        <w:t>ont dû</w:t>
      </w:r>
      <w:r w:rsidRPr="00C0572E">
        <w:rPr>
          <w:rFonts w:cstheme="minorHAnsi"/>
        </w:rPr>
        <w:t xml:space="preserve"> être réalisé</w:t>
      </w:r>
      <w:r w:rsidR="004B01D7">
        <w:rPr>
          <w:rFonts w:cstheme="minorHAnsi"/>
        </w:rPr>
        <w:t>e</w:t>
      </w:r>
      <w:r w:rsidRPr="00C0572E">
        <w:rPr>
          <w:rFonts w:cstheme="minorHAnsi"/>
        </w:rPr>
        <w:t xml:space="preserve">s. Un premier tri </w:t>
      </w:r>
      <w:r w:rsidR="004B01D7">
        <w:rPr>
          <w:rFonts w:cstheme="minorHAnsi"/>
        </w:rPr>
        <w:t>a été</w:t>
      </w:r>
      <w:r w:rsidRPr="00C0572E">
        <w:rPr>
          <w:rFonts w:cstheme="minorHAnsi"/>
        </w:rPr>
        <w:t xml:space="preserve"> effectué afin d’éliminer les réponses incomplètes et d</w:t>
      </w:r>
      <w:r w:rsidR="004B01D7">
        <w:rPr>
          <w:rFonts w:cstheme="minorHAnsi"/>
        </w:rPr>
        <w:t>’exclure</w:t>
      </w:r>
      <w:r w:rsidRPr="00C0572E">
        <w:rPr>
          <w:rFonts w:cstheme="minorHAnsi"/>
        </w:rPr>
        <w:t xml:space="preserve"> les réponses des participants ne rentrant pas dans nos critères d’inclusion. Chaque variable recueilli</w:t>
      </w:r>
      <w:r w:rsidR="00983D9E">
        <w:rPr>
          <w:rFonts w:cstheme="minorHAnsi"/>
        </w:rPr>
        <w:t>e</w:t>
      </w:r>
      <w:r w:rsidRPr="00C0572E">
        <w:rPr>
          <w:rFonts w:cstheme="minorHAnsi"/>
        </w:rPr>
        <w:t xml:space="preserve"> </w:t>
      </w:r>
      <w:r w:rsidR="004B01D7">
        <w:rPr>
          <w:rFonts w:cstheme="minorHAnsi"/>
        </w:rPr>
        <w:t>a été</w:t>
      </w:r>
      <w:r w:rsidRPr="00C0572E">
        <w:rPr>
          <w:rFonts w:cstheme="minorHAnsi"/>
        </w:rPr>
        <w:t xml:space="preserve"> catégorisée selon sa nature puis encodée afin de permettre l’analyse statistique et un traitement automatisé </w:t>
      </w:r>
      <w:r w:rsidR="00983D9E">
        <w:rPr>
          <w:rFonts w:cstheme="minorHAnsi"/>
        </w:rPr>
        <w:t>pour</w:t>
      </w:r>
      <w:r w:rsidRPr="00C0572E">
        <w:rPr>
          <w:rFonts w:cstheme="minorHAnsi"/>
        </w:rPr>
        <w:t xml:space="preserve"> produire des résultats fiables et reproductibles.</w:t>
      </w:r>
      <w:r>
        <w:rPr>
          <w:rFonts w:cstheme="minorHAnsi"/>
        </w:rPr>
        <w:t xml:space="preserve"> </w:t>
      </w:r>
    </w:p>
    <w:p w14:paraId="399FE0AE" w14:textId="543C73A5" w:rsidR="00010CF6" w:rsidRDefault="00010CF6" w:rsidP="001C18E0">
      <w:pPr>
        <w:spacing w:line="360" w:lineRule="auto"/>
        <w:ind w:firstLine="284"/>
        <w:jc w:val="both"/>
        <w:rPr>
          <w:rFonts w:cstheme="minorHAnsi"/>
        </w:rPr>
      </w:pPr>
      <w:r>
        <w:rPr>
          <w:rFonts w:cstheme="minorHAnsi"/>
        </w:rPr>
        <w:t xml:space="preserve">Les variables qualitatives (ex : type de test utilisés, champ d’exercice, …) </w:t>
      </w:r>
      <w:r w:rsidR="004B01D7">
        <w:rPr>
          <w:rFonts w:cstheme="minorHAnsi"/>
        </w:rPr>
        <w:t>ont été</w:t>
      </w:r>
      <w:r>
        <w:rPr>
          <w:rFonts w:cstheme="minorHAnsi"/>
        </w:rPr>
        <w:t xml:space="preserve"> analysées selon leur fréquence afin de de pouvoir identifier les éléments les plus représentés dans l’échantillon interrogé. Les variables dites ordinales, telles que les réponses collectées en échelle de Likert, </w:t>
      </w:r>
      <w:r w:rsidR="004B01D7">
        <w:rPr>
          <w:rFonts w:cstheme="minorHAnsi"/>
        </w:rPr>
        <w:t>ont été</w:t>
      </w:r>
      <w:r>
        <w:rPr>
          <w:rFonts w:cstheme="minorHAnsi"/>
        </w:rPr>
        <w:t xml:space="preserve"> transcrites sous forme de moyenne ou médiane afin d’avoir un aperçu des tendances générales autour de la pratique interrogée. Des tableaux récapitulatifs ou différentes formes de diagramme </w:t>
      </w:r>
      <w:r w:rsidR="004B01D7">
        <w:rPr>
          <w:rFonts w:cstheme="minorHAnsi"/>
        </w:rPr>
        <w:t xml:space="preserve">ont été </w:t>
      </w:r>
      <w:r>
        <w:rPr>
          <w:rFonts w:cstheme="minorHAnsi"/>
        </w:rPr>
        <w:t xml:space="preserve">utilisés afin de pouvoir communiquer et illustrer visuellement les résultats obtenus après analyse des données. </w:t>
      </w:r>
    </w:p>
    <w:p w14:paraId="44F0290D" w14:textId="77777777" w:rsidR="00983D9E" w:rsidRDefault="00010CF6" w:rsidP="001C18E0">
      <w:pPr>
        <w:spacing w:line="360" w:lineRule="auto"/>
        <w:ind w:firstLine="284"/>
        <w:jc w:val="both"/>
        <w:rPr>
          <w:rFonts w:cstheme="minorHAnsi"/>
        </w:rPr>
      </w:pPr>
      <w:r>
        <w:rPr>
          <w:rFonts w:cstheme="minorHAnsi"/>
        </w:rPr>
        <w:t xml:space="preserve">Les différentes données </w:t>
      </w:r>
      <w:r w:rsidR="004B01D7">
        <w:rPr>
          <w:rFonts w:cstheme="minorHAnsi"/>
        </w:rPr>
        <w:t>ont été</w:t>
      </w:r>
      <w:r>
        <w:rPr>
          <w:rFonts w:cstheme="minorHAnsi"/>
        </w:rPr>
        <w:t xml:space="preserve"> mises en relation dans le but d’établir des possibles corrélations entre les différentes variables. </w:t>
      </w:r>
    </w:p>
    <w:p w14:paraId="457B4748" w14:textId="7986D6ED" w:rsidR="00010CF6" w:rsidRDefault="00010CF6" w:rsidP="001C18E0">
      <w:pPr>
        <w:spacing w:line="360" w:lineRule="auto"/>
        <w:ind w:firstLine="284"/>
        <w:jc w:val="both"/>
        <w:rPr>
          <w:rFonts w:cstheme="minorHAnsi"/>
        </w:rPr>
      </w:pPr>
      <w:r>
        <w:rPr>
          <w:rFonts w:cstheme="minorHAnsi"/>
        </w:rPr>
        <w:t>Par exemple :</w:t>
      </w:r>
    </w:p>
    <w:p w14:paraId="256A675B" w14:textId="77777777" w:rsidR="00010CF6" w:rsidRDefault="00010CF6" w:rsidP="001C18E0">
      <w:pPr>
        <w:pStyle w:val="Paragraphedeliste"/>
        <w:numPr>
          <w:ilvl w:val="0"/>
          <w:numId w:val="14"/>
        </w:numPr>
        <w:spacing w:line="360" w:lineRule="auto"/>
        <w:jc w:val="both"/>
        <w:rPr>
          <w:rFonts w:cstheme="minorHAnsi"/>
        </w:rPr>
      </w:pPr>
      <w:r>
        <w:rPr>
          <w:rFonts w:cstheme="minorHAnsi"/>
        </w:rPr>
        <w:t>Les composantes de l’équilibre évaluées et les tests cliniques utilisés</w:t>
      </w:r>
    </w:p>
    <w:p w14:paraId="7E0BCB7F" w14:textId="77777777" w:rsidR="00010CF6" w:rsidRDefault="00010CF6" w:rsidP="001C18E0">
      <w:pPr>
        <w:pStyle w:val="Paragraphedeliste"/>
        <w:numPr>
          <w:ilvl w:val="0"/>
          <w:numId w:val="14"/>
        </w:numPr>
        <w:spacing w:line="360" w:lineRule="auto"/>
        <w:jc w:val="both"/>
        <w:rPr>
          <w:rFonts w:cstheme="minorHAnsi"/>
        </w:rPr>
      </w:pPr>
      <w:r>
        <w:rPr>
          <w:rFonts w:cstheme="minorHAnsi"/>
        </w:rPr>
        <w:lastRenderedPageBreak/>
        <w:t>Le nombre d’années d’expérience clinique et les tests cliniques utilisés</w:t>
      </w:r>
    </w:p>
    <w:p w14:paraId="258AC53E" w14:textId="77777777" w:rsidR="00010CF6" w:rsidRDefault="00010CF6" w:rsidP="001C18E0">
      <w:pPr>
        <w:pStyle w:val="Paragraphedeliste"/>
        <w:numPr>
          <w:ilvl w:val="0"/>
          <w:numId w:val="14"/>
        </w:numPr>
        <w:spacing w:line="360" w:lineRule="auto"/>
        <w:jc w:val="both"/>
        <w:rPr>
          <w:rFonts w:cstheme="minorHAnsi"/>
        </w:rPr>
      </w:pPr>
      <w:r>
        <w:rPr>
          <w:rFonts w:cstheme="minorHAnsi"/>
        </w:rPr>
        <w:t>La région d’exercice et les tests cliniques utilisés</w:t>
      </w:r>
    </w:p>
    <w:p w14:paraId="57BDA9F9" w14:textId="64D81DB6" w:rsidR="00010CF6" w:rsidRDefault="00010CF6" w:rsidP="001C18E0">
      <w:pPr>
        <w:spacing w:line="360" w:lineRule="auto"/>
        <w:jc w:val="both"/>
        <w:rPr>
          <w:rFonts w:cstheme="minorHAnsi"/>
        </w:rPr>
      </w:pPr>
      <w:r>
        <w:rPr>
          <w:rFonts w:cstheme="minorHAnsi"/>
        </w:rPr>
        <w:tab/>
        <w:t xml:space="preserve">Afin de garantir la validité ainsi que la fiabilité des résultats, les différents biais comme celui dit de « recrutement » ou de « sélection » </w:t>
      </w:r>
      <w:r w:rsidR="004B01D7">
        <w:rPr>
          <w:rFonts w:cstheme="minorHAnsi"/>
        </w:rPr>
        <w:t>ont été</w:t>
      </w:r>
      <w:r>
        <w:rPr>
          <w:rFonts w:cstheme="minorHAnsi"/>
        </w:rPr>
        <w:t xml:space="preserve"> autant que possible contournés </w:t>
      </w:r>
      <w:r>
        <w:rPr>
          <w:rFonts w:cstheme="minorHAnsi"/>
        </w:rPr>
        <w:fldChar w:fldCharType="begin"/>
      </w:r>
      <w:r>
        <w:rPr>
          <w:rFonts w:cstheme="minorHAnsi"/>
        </w:rPr>
        <w:instrText xml:space="preserve"> ADDIN ZOTERO_ITEM CSL_CITATION {"citationID":"U7bxlv3G","properties":{"formattedCitation":"(Trimbur, 2021)","plainCitation":"(Trimbur, 2021)","noteIndex":0},"citationItems":[{"id":458,"uris":["http://zotero.org/users/10583480/items/FSULA73Y"],"itemData":{"id":458,"type":"report","title":"RÉALISER UNE ÉTUDE QUALITATIVE EN SANTÉ","author":[{"family":"Trimbur","given":""}],"issued":{"date-parts":[["2021"]]}}}],"schema":"https://github.com/citation-style-language/schema/raw/master/csl-citation.json"} </w:instrText>
      </w:r>
      <w:r>
        <w:rPr>
          <w:rFonts w:cstheme="minorHAnsi"/>
        </w:rPr>
        <w:fldChar w:fldCharType="separate"/>
      </w:r>
      <w:r>
        <w:rPr>
          <w:rFonts w:cstheme="minorHAnsi"/>
          <w:noProof/>
        </w:rPr>
        <w:t>(Trimbur, 2021)</w:t>
      </w:r>
      <w:r>
        <w:rPr>
          <w:rFonts w:cstheme="minorHAnsi"/>
        </w:rPr>
        <w:fldChar w:fldCharType="end"/>
      </w:r>
      <w:r>
        <w:rPr>
          <w:rFonts w:cstheme="minorHAnsi"/>
        </w:rPr>
        <w:t xml:space="preserve">. Le principe d’anonymat </w:t>
      </w:r>
      <w:r w:rsidR="004B01D7">
        <w:rPr>
          <w:rFonts w:cstheme="minorHAnsi"/>
        </w:rPr>
        <w:t xml:space="preserve">a été </w:t>
      </w:r>
      <w:r>
        <w:rPr>
          <w:rFonts w:cstheme="minorHAnsi"/>
        </w:rPr>
        <w:t xml:space="preserve">également respecté </w:t>
      </w:r>
      <w:r>
        <w:rPr>
          <w:rFonts w:cstheme="minorHAnsi"/>
        </w:rPr>
        <w:fldChar w:fldCharType="begin"/>
      </w:r>
      <w:r>
        <w:rPr>
          <w:rFonts w:cstheme="minorHAnsi"/>
        </w:rPr>
        <w:instrText xml:space="preserve"> ADDIN ZOTERO_ITEM CSL_CITATION {"citationID":"IGKxPNZS","properties":{"formattedCitation":"(CNIL, 2020)","plainCitation":"(CNIL, 2020)","noteIndex":0},"citationItems":[{"id":453,"uris":["http://zotero.org/users/10583480/items/452R8J2H"],"itemData":{"id":453,"type":"webpage","abstract":"Qu’est-ce que l’anonymisation ? L’anonymisation est un traitement qui consiste à utiliser un ensemble de techniques de manière à rendre impossible, en pratique, toute identification de la personne par quelque moyen que ce soit et de manière irréversible. L’anonymisation ne doit pas être confondue avec la pseudonymisation.","language":"fr","title":"L’anonymisation de données personnelles","URL":"https://www.cnil.fr/fr/technologies/lanonymisation-de-donnees-personnelles","author":[{"family":"CNIL","given":""}],"accessed":{"date-parts":[["2025",4,23]]},"issued":{"date-parts":[["2020"]]}}}],"schema":"https://github.com/citation-style-language/schema/raw/master/csl-citation.json"} </w:instrText>
      </w:r>
      <w:r>
        <w:rPr>
          <w:rFonts w:cstheme="minorHAnsi"/>
        </w:rPr>
        <w:fldChar w:fldCharType="separate"/>
      </w:r>
      <w:r>
        <w:rPr>
          <w:rFonts w:cstheme="minorHAnsi"/>
          <w:noProof/>
        </w:rPr>
        <w:t>(CNIL, 2020)</w:t>
      </w:r>
      <w:r>
        <w:rPr>
          <w:rFonts w:cstheme="minorHAnsi"/>
        </w:rPr>
        <w:fldChar w:fldCharType="end"/>
      </w:r>
      <w:r>
        <w:rPr>
          <w:rFonts w:cstheme="minorHAnsi"/>
        </w:rPr>
        <w:t xml:space="preserve">. Le nombre de répondants </w:t>
      </w:r>
      <w:r w:rsidR="004B01D7">
        <w:rPr>
          <w:rFonts w:cstheme="minorHAnsi"/>
        </w:rPr>
        <w:t xml:space="preserve">a été </w:t>
      </w:r>
      <w:r>
        <w:rPr>
          <w:rFonts w:cstheme="minorHAnsi"/>
        </w:rPr>
        <w:t>aussi intégré</w:t>
      </w:r>
      <w:r w:rsidR="00983D9E">
        <w:rPr>
          <w:rFonts w:cstheme="minorHAnsi"/>
        </w:rPr>
        <w:t xml:space="preserve"> </w:t>
      </w:r>
      <w:r>
        <w:rPr>
          <w:rFonts w:cstheme="minorHAnsi"/>
        </w:rPr>
        <w:t xml:space="preserve">afin d’établir la signification ou non de l’étude </w:t>
      </w:r>
      <w:r>
        <w:rPr>
          <w:rFonts w:cstheme="minorHAnsi"/>
        </w:rPr>
        <w:fldChar w:fldCharType="begin"/>
      </w:r>
      <w:r>
        <w:rPr>
          <w:rFonts w:cstheme="minorHAnsi"/>
        </w:rPr>
        <w:instrText xml:space="preserve"> ADDIN ZOTERO_ITEM CSL_CITATION {"citationID":"RbkoBg7O","properties":{"formattedCitation":"(Charan, 2013)","plainCitation":"(Charan, 2013)","noteIndex":0},"citationItems":[{"id":459,"uris":["http://zotero.org/users/10583480/items/TRN4NYCG"],"itemData":{"id":459,"type":"article-journal","title":"How to Calculate Sample Size for Different Study Designs in Medical Research?","author":[{"literal":"Charan"}],"issued":{"date-parts":[["2013"]]}}}],"schema":"https://github.com/citation-style-language/schema/raw/master/csl-citation.json"} </w:instrText>
      </w:r>
      <w:r>
        <w:rPr>
          <w:rFonts w:cstheme="minorHAnsi"/>
        </w:rPr>
        <w:fldChar w:fldCharType="separate"/>
      </w:r>
      <w:r>
        <w:rPr>
          <w:rFonts w:cstheme="minorHAnsi"/>
          <w:noProof/>
        </w:rPr>
        <w:t>(Charan, 2013)</w:t>
      </w:r>
      <w:r>
        <w:rPr>
          <w:rFonts w:cstheme="minorHAnsi"/>
        </w:rPr>
        <w:fldChar w:fldCharType="end"/>
      </w:r>
      <w:r>
        <w:rPr>
          <w:rFonts w:cstheme="minorHAnsi"/>
        </w:rPr>
        <w:t>.</w:t>
      </w:r>
    </w:p>
    <w:p w14:paraId="7041BC83" w14:textId="26C94588" w:rsidR="00010CF6" w:rsidRDefault="00010CF6" w:rsidP="001C18E0">
      <w:pPr>
        <w:spacing w:line="360" w:lineRule="auto"/>
        <w:jc w:val="both"/>
        <w:rPr>
          <w:rFonts w:cstheme="minorHAnsi"/>
          <w:color w:val="000000"/>
        </w:rPr>
      </w:pPr>
      <w:r>
        <w:rPr>
          <w:rFonts w:cstheme="minorHAnsi"/>
        </w:rPr>
        <w:tab/>
      </w:r>
      <w:r w:rsidRPr="00565E38">
        <w:rPr>
          <w:rFonts w:cstheme="minorHAnsi"/>
          <w:color w:val="000000"/>
        </w:rPr>
        <w:t xml:space="preserve">Les résultats de l’analyse </w:t>
      </w:r>
      <w:r w:rsidR="004B01D7">
        <w:rPr>
          <w:rFonts w:cstheme="minorHAnsi"/>
          <w:color w:val="000000"/>
        </w:rPr>
        <w:t>ont visé</w:t>
      </w:r>
      <w:r w:rsidRPr="00565E38">
        <w:rPr>
          <w:rFonts w:cstheme="minorHAnsi"/>
          <w:color w:val="000000"/>
        </w:rPr>
        <w:t xml:space="preserve"> à identifier les pratiques actuelles dans l’évaluation de l’équilibre</w:t>
      </w:r>
      <w:r>
        <w:rPr>
          <w:rFonts w:cstheme="minorHAnsi"/>
          <w:color w:val="000000"/>
        </w:rPr>
        <w:t>.</w:t>
      </w:r>
      <w:r w:rsidRPr="00565E38">
        <w:rPr>
          <w:rFonts w:cstheme="minorHAnsi"/>
          <w:color w:val="000000"/>
        </w:rPr>
        <w:t xml:space="preserve"> Ils </w:t>
      </w:r>
      <w:r w:rsidR="004B01D7">
        <w:rPr>
          <w:rFonts w:cstheme="minorHAnsi"/>
          <w:color w:val="000000"/>
        </w:rPr>
        <w:t xml:space="preserve">ont </w:t>
      </w:r>
      <w:r w:rsidR="003D6554">
        <w:rPr>
          <w:rFonts w:cstheme="minorHAnsi"/>
          <w:color w:val="000000"/>
        </w:rPr>
        <w:t>servi</w:t>
      </w:r>
      <w:r w:rsidRPr="00565E38">
        <w:rPr>
          <w:rFonts w:cstheme="minorHAnsi"/>
          <w:color w:val="000000"/>
        </w:rPr>
        <w:t xml:space="preserve"> de base à la rédaction du mémoire final, ainsi qu’à d’éventuelles communications professionnelles ou scientifiques</w:t>
      </w:r>
      <w:r>
        <w:rPr>
          <w:rFonts w:cstheme="minorHAnsi"/>
          <w:color w:val="000000"/>
        </w:rPr>
        <w:t>.</w:t>
      </w:r>
    </w:p>
    <w:p w14:paraId="24E9CF99" w14:textId="7C25A792" w:rsidR="00010CF6" w:rsidRPr="0006733B" w:rsidRDefault="00010CF6" w:rsidP="001C18E0">
      <w:pPr>
        <w:spacing w:before="100" w:beforeAutospacing="1" w:after="100" w:afterAutospacing="1" w:line="360" w:lineRule="auto"/>
        <w:jc w:val="both"/>
        <w:rPr>
          <w:rFonts w:eastAsia="Times New Roman" w:cstheme="minorHAnsi"/>
          <w:color w:val="000000"/>
          <w:lang w:eastAsia="fr-FR"/>
        </w:rPr>
      </w:pPr>
      <w:r>
        <w:rPr>
          <w:rFonts w:ascii="Times New Roman" w:eastAsia="Times New Roman" w:hAnsi="Times New Roman" w:cs="Times New Roman"/>
          <w:color w:val="000000"/>
          <w:sz w:val="24"/>
          <w:szCs w:val="24"/>
          <w:lang w:eastAsia="fr-FR"/>
        </w:rPr>
        <w:tab/>
      </w:r>
      <w:r w:rsidRPr="0006733B">
        <w:rPr>
          <w:rFonts w:eastAsia="Times New Roman" w:cstheme="minorHAnsi"/>
          <w:color w:val="000000"/>
          <w:lang w:eastAsia="fr-FR"/>
        </w:rPr>
        <w:t xml:space="preserve">Pour la publication des résultats, il </w:t>
      </w:r>
      <w:r w:rsidR="004B01D7">
        <w:rPr>
          <w:rFonts w:eastAsia="Times New Roman" w:cstheme="minorHAnsi"/>
          <w:color w:val="000000"/>
          <w:lang w:eastAsia="fr-FR"/>
        </w:rPr>
        <w:t>a été</w:t>
      </w:r>
      <w:r w:rsidRPr="0006733B">
        <w:rPr>
          <w:rFonts w:eastAsia="Times New Roman" w:cstheme="minorHAnsi"/>
          <w:color w:val="000000"/>
          <w:lang w:eastAsia="fr-FR"/>
        </w:rPr>
        <w:t xml:space="preserve"> essentiel de décrire précisément la population interrogée. Cela </w:t>
      </w:r>
      <w:r w:rsidR="004B01D7">
        <w:rPr>
          <w:rFonts w:eastAsia="Times New Roman" w:cstheme="minorHAnsi"/>
          <w:color w:val="000000"/>
          <w:lang w:eastAsia="fr-FR"/>
        </w:rPr>
        <w:t xml:space="preserve">a </w:t>
      </w:r>
      <w:r w:rsidRPr="0006733B">
        <w:rPr>
          <w:rFonts w:eastAsia="Times New Roman" w:cstheme="minorHAnsi"/>
          <w:color w:val="000000"/>
          <w:lang w:eastAsia="fr-FR"/>
        </w:rPr>
        <w:t>inclu</w:t>
      </w:r>
      <w:r w:rsidR="00983D9E">
        <w:rPr>
          <w:rFonts w:eastAsia="Times New Roman" w:cstheme="minorHAnsi"/>
          <w:color w:val="000000"/>
          <w:lang w:eastAsia="fr-FR"/>
        </w:rPr>
        <w:t xml:space="preserve">s </w:t>
      </w:r>
      <w:r w:rsidRPr="0006733B">
        <w:rPr>
          <w:rFonts w:eastAsia="Times New Roman" w:cstheme="minorHAnsi"/>
          <w:color w:val="000000"/>
          <w:lang w:eastAsia="fr-FR"/>
        </w:rPr>
        <w:t xml:space="preserve">le nombre total de questionnaires diffusés, le nombre de réponses complètes analysées, et les caractéristiques sociodémographiques des répondants (âge, genre, spécialité d’exercice professionnel, zone géographique, ancienneté dans le métier, etc.). Cette description </w:t>
      </w:r>
      <w:r w:rsidR="004B01D7">
        <w:rPr>
          <w:rFonts w:eastAsia="Times New Roman" w:cstheme="minorHAnsi"/>
          <w:color w:val="000000"/>
          <w:lang w:eastAsia="fr-FR"/>
        </w:rPr>
        <w:t>a permis</w:t>
      </w:r>
      <w:r w:rsidRPr="0006733B">
        <w:rPr>
          <w:rFonts w:eastAsia="Times New Roman" w:cstheme="minorHAnsi"/>
          <w:color w:val="000000"/>
          <w:lang w:eastAsia="fr-FR"/>
        </w:rPr>
        <w:t xml:space="preserve"> d’évaluer la représentativité de l’échantillon par rapport à la population cible. Par exemple, si le questionnaire s’adress</w:t>
      </w:r>
      <w:r w:rsidR="004B01D7">
        <w:rPr>
          <w:rFonts w:eastAsia="Times New Roman" w:cstheme="minorHAnsi"/>
          <w:color w:val="000000"/>
          <w:lang w:eastAsia="fr-FR"/>
        </w:rPr>
        <w:t xml:space="preserve">ait </w:t>
      </w:r>
      <w:r w:rsidRPr="0006733B">
        <w:rPr>
          <w:rFonts w:eastAsia="Times New Roman" w:cstheme="minorHAnsi"/>
          <w:color w:val="000000"/>
          <w:lang w:eastAsia="fr-FR"/>
        </w:rPr>
        <w:t xml:space="preserve">aux masseurs-kinésithérapeutes français, il </w:t>
      </w:r>
      <w:r w:rsidR="004B01D7">
        <w:rPr>
          <w:rFonts w:eastAsia="Times New Roman" w:cstheme="minorHAnsi"/>
          <w:color w:val="000000"/>
          <w:lang w:eastAsia="fr-FR"/>
        </w:rPr>
        <w:t>a été</w:t>
      </w:r>
      <w:r w:rsidRPr="0006733B">
        <w:rPr>
          <w:rFonts w:eastAsia="Times New Roman" w:cstheme="minorHAnsi"/>
          <w:color w:val="000000"/>
          <w:lang w:eastAsia="fr-FR"/>
        </w:rPr>
        <w:t xml:space="preserve"> pertinent d’indiquer les régions les plus représentées</w:t>
      </w:r>
      <w:r>
        <w:rPr>
          <w:rFonts w:eastAsia="Times New Roman" w:cstheme="minorHAnsi"/>
          <w:color w:val="000000"/>
          <w:lang w:eastAsia="fr-FR"/>
        </w:rPr>
        <w:t xml:space="preserve"> </w:t>
      </w:r>
      <w:r>
        <w:rPr>
          <w:rFonts w:eastAsia="Times New Roman" w:cstheme="minorHAnsi"/>
          <w:color w:val="000000"/>
          <w:lang w:eastAsia="fr-FR"/>
        </w:rPr>
        <w:fldChar w:fldCharType="begin"/>
      </w:r>
      <w:r>
        <w:rPr>
          <w:rFonts w:eastAsia="Times New Roman" w:cstheme="minorHAnsi"/>
          <w:color w:val="000000"/>
          <w:lang w:eastAsia="fr-FR"/>
        </w:rPr>
        <w:instrText xml:space="preserve"> ADDIN ZOTERO_ITEM CSL_CITATION {"citationID":"U5TyxjD8","properties":{"formattedCitation":"(Artino et al., 2014)","plainCitation":"(Artino et al., 2014)","noteIndex":0},"citationItems":[{"id":472,"uris":["http://zotero.org/users/10583480/items/4BVT2TYV"],"itemData":{"id":472,"type":"article-journal","abstract":"In this AMEE Guide, we consider the design and development of self-administered surveys, commonly called questionnaires. Questionnaires are widely employed in medical education research. Unfortunately, the processes used to develop such questionnaires vary in quality and lack consistent, rigorous standards. Consequently, the quality of the questionnaires used in medical education research is highly variable. To address this problem, this AMEE Guide presents a systematic, seven-step process for designing high-quality questionnaires, with particular emphasis on developing survey scales. These seven steps do not address all aspects of survey design, nor do they represent the only way to develop a high-quality questionnaire. Instead, these steps synthesize multiple survey design techniques and organize them into a cohesive process for questionnaire developers of all levels. Addressing each of these steps systematically will improve the probabilities that survey designers will accurately measure what they intend to measure.","container-title":"Medical Teacher","DOI":"10.3109/0142159X.2014.889814","ISSN":"1466-187X","issue":"6","journalAbbreviation":"Med Teach","language":"eng","note":"PMID: 24661014\nPMCID: PMC4059192","page":"463-474","source":"PubMed","title":"Developing questionnaires for educational research: AMEE Guide No. 87","title-short":"Developing questionnaires for educational research","volume":"36","author":[{"family":"Artino","given":"Anthony R."},{"family":"La Rochelle","given":"Jeffrey S."},{"family":"Dezee","given":"Kent J."},{"family":"Gehlbach","given":"Hunter"}],"issued":{"date-parts":[["2014",6]]}}}],"schema":"https://github.com/citation-style-language/schema/raw/master/csl-citation.json"} </w:instrText>
      </w:r>
      <w:r>
        <w:rPr>
          <w:rFonts w:eastAsia="Times New Roman" w:cstheme="minorHAnsi"/>
          <w:color w:val="000000"/>
          <w:lang w:eastAsia="fr-FR"/>
        </w:rPr>
        <w:fldChar w:fldCharType="separate"/>
      </w:r>
      <w:r>
        <w:rPr>
          <w:rFonts w:eastAsia="Times New Roman" w:cstheme="minorHAnsi"/>
          <w:noProof/>
          <w:color w:val="000000"/>
          <w:lang w:eastAsia="fr-FR"/>
        </w:rPr>
        <w:t>(Artino et al., 2014)</w:t>
      </w:r>
      <w:r>
        <w:rPr>
          <w:rFonts w:eastAsia="Times New Roman" w:cstheme="minorHAnsi"/>
          <w:color w:val="000000"/>
          <w:lang w:eastAsia="fr-FR"/>
        </w:rPr>
        <w:fldChar w:fldCharType="end"/>
      </w:r>
      <w:r w:rsidRPr="0006733B">
        <w:rPr>
          <w:rFonts w:eastAsia="Times New Roman" w:cstheme="minorHAnsi"/>
          <w:color w:val="000000"/>
          <w:lang w:eastAsia="fr-FR"/>
        </w:rPr>
        <w:t>.</w:t>
      </w:r>
    </w:p>
    <w:p w14:paraId="4EAB6E53" w14:textId="6C796CF7" w:rsidR="00010CF6" w:rsidRPr="0006733B" w:rsidRDefault="00010CF6" w:rsidP="001C18E0">
      <w:pPr>
        <w:spacing w:before="100" w:beforeAutospacing="1" w:after="100" w:afterAutospacing="1" w:line="360" w:lineRule="auto"/>
        <w:jc w:val="both"/>
        <w:rPr>
          <w:rFonts w:eastAsia="Times New Roman" w:cstheme="minorHAnsi"/>
          <w:color w:val="000000"/>
          <w:lang w:eastAsia="fr-FR"/>
        </w:rPr>
      </w:pPr>
      <w:r w:rsidRPr="0006733B">
        <w:rPr>
          <w:rFonts w:eastAsia="Times New Roman" w:cstheme="minorHAnsi"/>
          <w:color w:val="000000"/>
          <w:lang w:eastAsia="fr-FR"/>
        </w:rPr>
        <w:tab/>
        <w:t>Les résultats quantitatifs </w:t>
      </w:r>
      <w:r w:rsidR="004B01D7">
        <w:rPr>
          <w:rFonts w:eastAsia="Times New Roman" w:cstheme="minorHAnsi"/>
          <w:color w:val="000000"/>
          <w:lang w:eastAsia="fr-FR"/>
        </w:rPr>
        <w:t xml:space="preserve">ont été </w:t>
      </w:r>
      <w:r w:rsidRPr="0006733B">
        <w:rPr>
          <w:rFonts w:eastAsia="Times New Roman" w:cstheme="minorHAnsi"/>
          <w:color w:val="000000"/>
          <w:lang w:eastAsia="fr-FR"/>
        </w:rPr>
        <w:t xml:space="preserve">présentés sous forme de tableaux ou de figures (graphiques à barres, camemberts, histogrammes), en indiquant systématiquement les effectifs (n) </w:t>
      </w:r>
      <w:r w:rsidR="003746B4">
        <w:rPr>
          <w:rFonts w:eastAsia="Times New Roman" w:cstheme="minorHAnsi"/>
          <w:color w:val="000000"/>
          <w:lang w:eastAsia="fr-FR"/>
        </w:rPr>
        <w:t xml:space="preserve">ou </w:t>
      </w:r>
      <w:r w:rsidRPr="0006733B">
        <w:rPr>
          <w:rFonts w:eastAsia="Times New Roman" w:cstheme="minorHAnsi"/>
          <w:color w:val="000000"/>
          <w:lang w:eastAsia="fr-FR"/>
        </w:rPr>
        <w:t xml:space="preserve">les pourcentages (%). Les données </w:t>
      </w:r>
      <w:r w:rsidR="003746B4">
        <w:rPr>
          <w:rFonts w:eastAsia="Times New Roman" w:cstheme="minorHAnsi"/>
          <w:color w:val="000000"/>
          <w:lang w:eastAsia="fr-FR"/>
        </w:rPr>
        <w:t>ont été</w:t>
      </w:r>
      <w:r w:rsidRPr="0006733B">
        <w:rPr>
          <w:rFonts w:eastAsia="Times New Roman" w:cstheme="minorHAnsi"/>
          <w:color w:val="000000"/>
          <w:lang w:eastAsia="fr-FR"/>
        </w:rPr>
        <w:t xml:space="preserve"> présentées de manière logique, en suivant l’ordre des questions posées ou en regroupant les thématiques similaires. Par exemple, il </w:t>
      </w:r>
      <w:r w:rsidR="003746B4">
        <w:rPr>
          <w:rFonts w:eastAsia="Times New Roman" w:cstheme="minorHAnsi"/>
          <w:color w:val="000000"/>
          <w:lang w:eastAsia="fr-FR"/>
        </w:rPr>
        <w:t xml:space="preserve">a pu être </w:t>
      </w:r>
      <w:r w:rsidRPr="0006733B">
        <w:rPr>
          <w:rFonts w:eastAsia="Times New Roman" w:cstheme="minorHAnsi"/>
          <w:color w:val="000000"/>
          <w:lang w:eastAsia="fr-FR"/>
        </w:rPr>
        <w:t xml:space="preserve">pertinent de commencer par les données générales sur la fréquence d’utilisation des tests d’équilibre, puis de détailler les outils spécifiques utilisés (ex. : TUG, BBS, </w:t>
      </w:r>
      <w:proofErr w:type="spellStart"/>
      <w:r w:rsidRPr="0006733B">
        <w:rPr>
          <w:rFonts w:eastAsia="Times New Roman" w:cstheme="minorHAnsi"/>
          <w:color w:val="000000"/>
          <w:lang w:eastAsia="fr-FR"/>
        </w:rPr>
        <w:t>BESTest</w:t>
      </w:r>
      <w:proofErr w:type="spellEnd"/>
      <w:r w:rsidRPr="0006733B">
        <w:rPr>
          <w:rFonts w:eastAsia="Times New Roman" w:cstheme="minorHAnsi"/>
          <w:color w:val="000000"/>
          <w:lang w:eastAsia="fr-FR"/>
        </w:rPr>
        <w:t>, Mini-</w:t>
      </w:r>
      <w:proofErr w:type="spellStart"/>
      <w:r w:rsidRPr="0006733B">
        <w:rPr>
          <w:rFonts w:eastAsia="Times New Roman" w:cstheme="minorHAnsi"/>
          <w:color w:val="000000"/>
          <w:lang w:eastAsia="fr-FR"/>
        </w:rPr>
        <w:t>BESTest</w:t>
      </w:r>
      <w:proofErr w:type="spellEnd"/>
      <w:r w:rsidRPr="0006733B">
        <w:rPr>
          <w:rFonts w:eastAsia="Times New Roman" w:cstheme="minorHAnsi"/>
          <w:color w:val="000000"/>
          <w:lang w:eastAsia="fr-FR"/>
        </w:rPr>
        <w:t>)</w:t>
      </w:r>
      <w:r>
        <w:rPr>
          <w:rFonts w:eastAsia="Times New Roman" w:cstheme="minorHAnsi"/>
          <w:color w:val="000000"/>
          <w:lang w:eastAsia="fr-FR"/>
        </w:rPr>
        <w:t xml:space="preserve"> </w:t>
      </w:r>
      <w:r>
        <w:rPr>
          <w:rFonts w:eastAsia="Times New Roman" w:cstheme="minorHAnsi"/>
          <w:color w:val="000000"/>
          <w:lang w:eastAsia="fr-FR"/>
        </w:rPr>
        <w:fldChar w:fldCharType="begin"/>
      </w:r>
      <w:r>
        <w:rPr>
          <w:rFonts w:eastAsia="Times New Roman" w:cstheme="minorHAnsi"/>
          <w:color w:val="000000"/>
          <w:lang w:eastAsia="fr-FR"/>
        </w:rPr>
        <w:instrText xml:space="preserve"> ADDIN ZOTERO_ITEM CSL_CITATION {"citationID":"dcMF7QsC","properties":{"formattedCitation":"(Artino et al., 2014)","plainCitation":"(Artino et al., 2014)","noteIndex":0},"citationItems":[{"id":472,"uris":["http://zotero.org/users/10583480/items/4BVT2TYV"],"itemData":{"id":472,"type":"article-journal","abstract":"In this AMEE Guide, we consider the design and development of self-administered surveys, commonly called questionnaires. Questionnaires are widely employed in medical education research. Unfortunately, the processes used to develop such questionnaires vary in quality and lack consistent, rigorous standards. Consequently, the quality of the questionnaires used in medical education research is highly variable. To address this problem, this AMEE Guide presents a systematic, seven-step process for designing high-quality questionnaires, with particular emphasis on developing survey scales. These seven steps do not address all aspects of survey design, nor do they represent the only way to develop a high-quality questionnaire. Instead, these steps synthesize multiple survey design techniques and organize them into a cohesive process for questionnaire developers of all levels. Addressing each of these steps systematically will improve the probabilities that survey designers will accurately measure what they intend to measure.","container-title":"Medical Teacher","DOI":"10.3109/0142159X.2014.889814","ISSN":"1466-187X","issue":"6","journalAbbreviation":"Med Teach","language":"eng","note":"PMID: 24661014\nPMCID: PMC4059192","page":"463-474","source":"PubMed","title":"Developing questionnaires for educational research: AMEE Guide No. 87","title-short":"Developing questionnaires for educational research","volume":"36","author":[{"family":"Artino","given":"Anthony R."},{"family":"La Rochelle","given":"Jeffrey S."},{"family":"Dezee","given":"Kent J."},{"family":"Gehlbach","given":"Hunter"}],"issued":{"date-parts":[["2014",6]]}}}],"schema":"https://github.com/citation-style-language/schema/raw/master/csl-citation.json"} </w:instrText>
      </w:r>
      <w:r>
        <w:rPr>
          <w:rFonts w:eastAsia="Times New Roman" w:cstheme="minorHAnsi"/>
          <w:color w:val="000000"/>
          <w:lang w:eastAsia="fr-FR"/>
        </w:rPr>
        <w:fldChar w:fldCharType="separate"/>
      </w:r>
      <w:r>
        <w:rPr>
          <w:rFonts w:eastAsia="Times New Roman" w:cstheme="minorHAnsi"/>
          <w:noProof/>
          <w:color w:val="000000"/>
          <w:lang w:eastAsia="fr-FR"/>
        </w:rPr>
        <w:t>(Artino et al., 2014)</w:t>
      </w:r>
      <w:r>
        <w:rPr>
          <w:rFonts w:eastAsia="Times New Roman" w:cstheme="minorHAnsi"/>
          <w:color w:val="000000"/>
          <w:lang w:eastAsia="fr-FR"/>
        </w:rPr>
        <w:fldChar w:fldCharType="end"/>
      </w:r>
      <w:r w:rsidRPr="0006733B">
        <w:rPr>
          <w:rFonts w:eastAsia="Times New Roman" w:cstheme="minorHAnsi"/>
          <w:color w:val="000000"/>
          <w:lang w:eastAsia="fr-FR"/>
        </w:rPr>
        <w:t>.</w:t>
      </w:r>
    </w:p>
    <w:p w14:paraId="21B436DA" w14:textId="5D8337F3" w:rsidR="00010CF6" w:rsidRPr="0006733B" w:rsidRDefault="00010CF6" w:rsidP="001C18E0">
      <w:pPr>
        <w:spacing w:before="100" w:beforeAutospacing="1" w:after="100" w:afterAutospacing="1" w:line="360" w:lineRule="auto"/>
        <w:jc w:val="both"/>
        <w:rPr>
          <w:rFonts w:eastAsia="Times New Roman" w:cstheme="minorHAnsi"/>
          <w:color w:val="000000"/>
          <w:lang w:eastAsia="fr-FR"/>
        </w:rPr>
      </w:pPr>
      <w:r w:rsidRPr="0006733B">
        <w:rPr>
          <w:rFonts w:eastAsia="Times New Roman" w:cstheme="minorHAnsi"/>
          <w:color w:val="000000"/>
          <w:lang w:eastAsia="fr-FR"/>
        </w:rPr>
        <w:tab/>
        <w:t xml:space="preserve">Lorsque des tests statistiques ont été appliqués pour vérifier des liens entre certaines variables (par exemple, une corrélation entre le type de test utilisé et l’ancienneté professionnelle), les résultats de ces analyses </w:t>
      </w:r>
      <w:r w:rsidR="003746B4">
        <w:rPr>
          <w:rFonts w:eastAsia="Times New Roman" w:cstheme="minorHAnsi"/>
          <w:color w:val="000000"/>
          <w:lang w:eastAsia="fr-FR"/>
        </w:rPr>
        <w:t xml:space="preserve">ont été </w:t>
      </w:r>
      <w:r w:rsidRPr="0006733B">
        <w:rPr>
          <w:rFonts w:eastAsia="Times New Roman" w:cstheme="minorHAnsi"/>
          <w:color w:val="000000"/>
          <w:lang w:eastAsia="fr-FR"/>
        </w:rPr>
        <w:t>présentés clairement</w:t>
      </w:r>
      <w:r>
        <w:rPr>
          <w:rFonts w:eastAsia="Times New Roman" w:cstheme="minorHAnsi"/>
          <w:color w:val="000000"/>
          <w:lang w:eastAsia="fr-FR"/>
        </w:rPr>
        <w:t xml:space="preserve"> </w:t>
      </w:r>
      <w:r>
        <w:rPr>
          <w:rFonts w:eastAsia="Times New Roman" w:cstheme="minorHAnsi"/>
          <w:color w:val="000000"/>
          <w:lang w:eastAsia="fr-FR"/>
        </w:rPr>
        <w:fldChar w:fldCharType="begin"/>
      </w:r>
      <w:r>
        <w:rPr>
          <w:rFonts w:eastAsia="Times New Roman" w:cstheme="minorHAnsi"/>
          <w:color w:val="000000"/>
          <w:lang w:eastAsia="fr-FR"/>
        </w:rPr>
        <w:instrText xml:space="preserve"> ADDIN ZOTERO_ITEM CSL_CITATION {"citationID":"VciFjJL2","properties":{"formattedCitation":"(Fink, 2003)","plainCitation":"(Fink, 2003)","noteIndex":0},"citationItems":[{"id":477,"uris":["http://zotero.org/users/10583480/items/LVDWCMJA"],"itemData":{"id":477,"type":"book","abstract":"&lt;p&gt;'''''I liked the addition of computerized slide presentations and the description of best presentation styles.'''--Juanita M. Firestone, University of Texas,","ISBN":"978-1-4129-8446-1","language":"en","note":"DOI: 10.4135/9781412984461","publisher":"SAGE Publications, Inc.","source":"methods.sagepub.com","title":"How to Report on Surveys","URL":"https://methods.sagepub.com/book/mono/how-to-report-on-surveys/toc","author":[{"family":"Fink","given":"Arlene"}],"accessed":{"date-parts":[["2025",4,30]]},"issued":{"date-parts":[["2003"]]}}}],"schema":"https://github.com/citation-style-language/schema/raw/master/csl-citation.json"} </w:instrText>
      </w:r>
      <w:r>
        <w:rPr>
          <w:rFonts w:eastAsia="Times New Roman" w:cstheme="minorHAnsi"/>
          <w:color w:val="000000"/>
          <w:lang w:eastAsia="fr-FR"/>
        </w:rPr>
        <w:fldChar w:fldCharType="separate"/>
      </w:r>
      <w:r>
        <w:rPr>
          <w:rFonts w:eastAsia="Times New Roman" w:cstheme="minorHAnsi"/>
          <w:noProof/>
          <w:color w:val="000000"/>
          <w:lang w:eastAsia="fr-FR"/>
        </w:rPr>
        <w:t>(Fink, 2003)</w:t>
      </w:r>
      <w:r>
        <w:rPr>
          <w:rFonts w:eastAsia="Times New Roman" w:cstheme="minorHAnsi"/>
          <w:color w:val="000000"/>
          <w:lang w:eastAsia="fr-FR"/>
        </w:rPr>
        <w:fldChar w:fldCharType="end"/>
      </w:r>
      <w:r w:rsidRPr="0006733B">
        <w:rPr>
          <w:rFonts w:eastAsia="Times New Roman" w:cstheme="minorHAnsi"/>
          <w:color w:val="000000"/>
          <w:lang w:eastAsia="fr-FR"/>
        </w:rPr>
        <w:t>.</w:t>
      </w:r>
    </w:p>
    <w:p w14:paraId="19A914BA" w14:textId="1357AEDB" w:rsidR="00010CF6" w:rsidRPr="0006733B" w:rsidRDefault="00010CF6" w:rsidP="001C18E0">
      <w:pPr>
        <w:spacing w:line="360" w:lineRule="auto"/>
        <w:jc w:val="both"/>
        <w:rPr>
          <w:rFonts w:cstheme="minorHAnsi"/>
          <w:color w:val="000000"/>
        </w:rPr>
      </w:pPr>
      <w:r w:rsidRPr="0006733B">
        <w:rPr>
          <w:rFonts w:cstheme="minorHAnsi"/>
          <w:color w:val="000000"/>
        </w:rPr>
        <w:tab/>
        <w:t xml:space="preserve">L’ensemble de ces éléments </w:t>
      </w:r>
      <w:r w:rsidR="003746B4">
        <w:rPr>
          <w:rFonts w:cstheme="minorHAnsi"/>
          <w:color w:val="000000"/>
        </w:rPr>
        <w:t>a permis</w:t>
      </w:r>
      <w:r w:rsidRPr="0006733B">
        <w:rPr>
          <w:rFonts w:cstheme="minorHAnsi"/>
          <w:color w:val="000000"/>
        </w:rPr>
        <w:t xml:space="preserve"> de mettre en lumière les tendances observées, les pratiques majoritaires, les freins et les leviers à l’utilisation de certains outils, tout en préparant le terrain pour la discussion et l’analyse critique des résultats.</w:t>
      </w:r>
    </w:p>
    <w:p w14:paraId="068CDAA5" w14:textId="77777777" w:rsidR="00010CF6" w:rsidRPr="00565E38" w:rsidRDefault="00010CF6" w:rsidP="001C18E0">
      <w:pPr>
        <w:spacing w:line="360" w:lineRule="auto"/>
        <w:jc w:val="both"/>
        <w:rPr>
          <w:rFonts w:cstheme="minorHAnsi"/>
        </w:rPr>
      </w:pPr>
    </w:p>
    <w:p w14:paraId="64ACB2D2" w14:textId="77777777" w:rsidR="00010CF6" w:rsidRPr="00C0572E" w:rsidRDefault="00010CF6" w:rsidP="00760694">
      <w:pPr>
        <w:pStyle w:val="Titre2"/>
      </w:pPr>
      <w:bookmarkStart w:id="53" w:name="_Toc197600556"/>
      <w:bookmarkStart w:id="54" w:name="_Toc221704634"/>
      <w:r w:rsidRPr="00C0572E">
        <w:lastRenderedPageBreak/>
        <w:t>Considérations éthiques et administratives</w:t>
      </w:r>
      <w:bookmarkEnd w:id="53"/>
      <w:bookmarkEnd w:id="54"/>
    </w:p>
    <w:p w14:paraId="50551C0C" w14:textId="77777777" w:rsidR="00010CF6" w:rsidRPr="00353766" w:rsidRDefault="00010CF6" w:rsidP="003D6554">
      <w:pPr>
        <w:spacing w:before="100" w:beforeAutospacing="1" w:after="100" w:afterAutospacing="1" w:line="360" w:lineRule="auto"/>
        <w:ind w:firstLine="397"/>
        <w:jc w:val="both"/>
        <w:rPr>
          <w:rFonts w:eastAsia="Times New Roman" w:cstheme="minorHAnsi"/>
          <w:color w:val="000000"/>
          <w:lang w:eastAsia="fr-FR"/>
        </w:rPr>
      </w:pPr>
      <w:r w:rsidRPr="00C0572E">
        <w:rPr>
          <w:rFonts w:eastAsia="Times New Roman" w:cstheme="minorHAnsi"/>
          <w:color w:val="000000"/>
          <w:lang w:eastAsia="fr-FR"/>
        </w:rPr>
        <w:t xml:space="preserve">Dans le cadre d’un travail de recherche, chaque intervenant est responsable du respect des principes éthiques et du traitement des données liées à ses travaux. Notre questionnement porte sur l’évaluation des pratiques </w:t>
      </w:r>
      <w:r>
        <w:rPr>
          <w:rFonts w:eastAsia="Times New Roman" w:cstheme="minorHAnsi"/>
          <w:color w:val="000000"/>
          <w:lang w:eastAsia="fr-FR"/>
        </w:rPr>
        <w:t>professionnelles</w:t>
      </w:r>
      <w:r w:rsidRPr="00C0572E">
        <w:rPr>
          <w:rFonts w:eastAsia="Times New Roman" w:cstheme="minorHAnsi"/>
          <w:color w:val="000000"/>
          <w:lang w:eastAsia="fr-FR"/>
        </w:rPr>
        <w:t xml:space="preserve"> dans le domaine de la santé. À ce titre, ce questionnaire n’est pas soumis aux dispositions de la Loi Jardé </w:t>
      </w:r>
      <w:r w:rsidRPr="00C0572E">
        <w:rPr>
          <w:rFonts w:eastAsia="Times New Roman" w:cstheme="minorHAnsi"/>
          <w:color w:val="000000"/>
          <w:lang w:eastAsia="fr-FR"/>
        </w:rPr>
        <w:fldChar w:fldCharType="begin"/>
      </w:r>
      <w:r w:rsidRPr="00C0572E">
        <w:rPr>
          <w:rFonts w:eastAsia="Times New Roman" w:cstheme="minorHAnsi"/>
          <w:color w:val="000000"/>
          <w:lang w:eastAsia="fr-FR"/>
        </w:rPr>
        <w:instrText xml:space="preserve"> ADDIN ZOTERO_ITEM CSL_CITATION {"citationID":"gJJc41Gj","properties":{"formattedCitation":"(Fournier, 2012)","plainCitation":"(Fournier, 2012)","noteIndex":0},"citationItems":[{"id":445,"uris":["http://zotero.org/users/10583480/items/EKQYAJG2"],"itemData":{"id":445,"type":"article-journal","container-title":"Hegel","DOI":"10.4267/2042/48249","ISSN":"2269-0530","issue":"3","language":"fr","note":"publisher: Association pour la revue HEGEL\nsection: Santé publique","page":"47-50","source":"stm.cairn.info","title":"La loi Jardé : une nouvelle loi régissant la recherche médicale","title-short":"La loi Jardé","volume":"3","author":[{"family":"Fournier","given":"Laure S."}],"issued":{"date-parts":[["2012"]]}}}],"schema":"https://github.com/citation-style-language/schema/raw/master/csl-citation.json"} </w:instrText>
      </w:r>
      <w:r w:rsidRPr="00C0572E">
        <w:rPr>
          <w:rFonts w:eastAsia="Times New Roman" w:cstheme="minorHAnsi"/>
          <w:color w:val="000000"/>
          <w:lang w:eastAsia="fr-FR"/>
        </w:rPr>
        <w:fldChar w:fldCharType="separate"/>
      </w:r>
      <w:r w:rsidRPr="00C0572E">
        <w:rPr>
          <w:rFonts w:eastAsia="Times New Roman" w:cstheme="minorHAnsi"/>
          <w:noProof/>
          <w:color w:val="000000"/>
          <w:lang w:eastAsia="fr-FR"/>
        </w:rPr>
        <w:t>(Fournier, 2012)</w:t>
      </w:r>
      <w:r w:rsidRPr="00C0572E">
        <w:rPr>
          <w:rFonts w:eastAsia="Times New Roman" w:cstheme="minorHAnsi"/>
          <w:color w:val="000000"/>
          <w:lang w:eastAsia="fr-FR"/>
        </w:rPr>
        <w:fldChar w:fldCharType="end"/>
      </w:r>
      <w:r w:rsidRPr="00C0572E">
        <w:rPr>
          <w:rFonts w:eastAsia="Times New Roman" w:cstheme="minorHAnsi"/>
          <w:color w:val="000000"/>
          <w:lang w:eastAsia="fr-FR"/>
        </w:rPr>
        <w:t>.</w:t>
      </w:r>
      <w:r>
        <w:rPr>
          <w:rFonts w:eastAsia="Times New Roman" w:cstheme="minorHAnsi"/>
          <w:color w:val="000000"/>
          <w:lang w:eastAsia="fr-FR"/>
        </w:rPr>
        <w:t xml:space="preserve"> </w:t>
      </w:r>
      <w:r w:rsidRPr="00353766">
        <w:rPr>
          <w:rFonts w:cstheme="minorHAnsi"/>
          <w:color w:val="000000"/>
        </w:rPr>
        <w:t xml:space="preserve">Le traitement des données personnelles collectées s’inscrit dans le cadre du référentiel méthodologique MR-004 de la CNIL, qui encadre les recherches n’impliquant pas la personne humaine mais comportant des traitements de données à caractère personnel </w:t>
      </w:r>
      <w:r w:rsidRPr="00353766">
        <w:rPr>
          <w:rFonts w:cstheme="minorHAnsi"/>
          <w:color w:val="000000"/>
        </w:rPr>
        <w:fldChar w:fldCharType="begin"/>
      </w:r>
      <w:r w:rsidRPr="00353766">
        <w:rPr>
          <w:rFonts w:cstheme="minorHAnsi"/>
          <w:color w:val="000000"/>
        </w:rPr>
        <w:instrText xml:space="preserve"> ADDIN ZOTERO_ITEM CSL_CITATION {"citationID":"uEsGgV3e","properties":{"formattedCitation":"(CNIL, 2018)","plainCitation":"(CNIL, 2018)","noteIndex":0},"citationItems":[{"id":482,"uris":["http://zotero.org/users/10583480/items/T8GU7XFK"],"itemData":{"id":482,"type":"webpage","title":"Délibération n° 2018-155 du 3 mai 2018 portant homologation de la méthodologie de référence relative aux traitements de données à caractère personnel mis en œuvre dans le cadre des recherches n'impliquant pas la personne humaine, des études et évaluations dans le domaine de la santé (MR-004) - Légifrance","URL":"https://www.legifrance.gouv.fr/jorf/id/JORFTEXT000037187498","author":[{"literal":"CNIL"}],"accessed":{"date-parts":[["2025",5,7]]},"issued":{"date-parts":[["2018"]]}}}],"schema":"https://github.com/citation-style-language/schema/raw/master/csl-citation.json"} </w:instrText>
      </w:r>
      <w:r w:rsidRPr="00353766">
        <w:rPr>
          <w:rFonts w:cstheme="minorHAnsi"/>
          <w:color w:val="000000"/>
        </w:rPr>
        <w:fldChar w:fldCharType="separate"/>
      </w:r>
      <w:r w:rsidRPr="00353766">
        <w:rPr>
          <w:rFonts w:cstheme="minorHAnsi"/>
          <w:noProof/>
          <w:color w:val="000000"/>
        </w:rPr>
        <w:t>(CNIL, 2018)</w:t>
      </w:r>
      <w:r w:rsidRPr="00353766">
        <w:rPr>
          <w:rFonts w:cstheme="minorHAnsi"/>
          <w:color w:val="000000"/>
        </w:rPr>
        <w:fldChar w:fldCharType="end"/>
      </w:r>
      <w:r w:rsidRPr="00353766">
        <w:rPr>
          <w:rFonts w:cstheme="minorHAnsi"/>
          <w:color w:val="000000"/>
        </w:rPr>
        <w:t>.</w:t>
      </w:r>
    </w:p>
    <w:p w14:paraId="6C21D891" w14:textId="6D0DD004" w:rsidR="00010CF6" w:rsidRPr="00C0572E" w:rsidRDefault="002C477A" w:rsidP="001C18E0">
      <w:pPr>
        <w:spacing w:before="100" w:beforeAutospacing="1" w:after="100" w:afterAutospacing="1" w:line="360" w:lineRule="auto"/>
        <w:ind w:firstLine="397"/>
        <w:jc w:val="both"/>
        <w:rPr>
          <w:rFonts w:eastAsia="Times New Roman" w:cstheme="minorHAnsi"/>
          <w:color w:val="000000"/>
          <w:lang w:eastAsia="fr-FR"/>
        </w:rPr>
      </w:pPr>
      <w:r>
        <w:rPr>
          <w:rFonts w:eastAsia="Times New Roman" w:cstheme="minorHAnsi"/>
          <w:color w:val="000000"/>
          <w:lang w:eastAsia="fr-FR"/>
        </w:rPr>
        <w:t>L</w:t>
      </w:r>
      <w:r w:rsidR="00010CF6" w:rsidRPr="00C0572E">
        <w:rPr>
          <w:rFonts w:eastAsia="Times New Roman" w:cstheme="minorHAnsi"/>
          <w:color w:val="000000"/>
          <w:lang w:eastAsia="fr-FR"/>
        </w:rPr>
        <w:t>a protection de la vie privée et la gestion des données personnelles relèvent du Règlement Général sur la Protection des Données (RGPD) </w:t>
      </w:r>
      <w:r w:rsidR="00010CF6">
        <w:rPr>
          <w:rFonts w:eastAsia="Times New Roman" w:cstheme="minorHAnsi"/>
          <w:color w:val="000000"/>
          <w:lang w:eastAsia="fr-FR"/>
        </w:rPr>
        <w:fldChar w:fldCharType="begin"/>
      </w:r>
      <w:r w:rsidR="00010CF6">
        <w:rPr>
          <w:rFonts w:eastAsia="Times New Roman" w:cstheme="minorHAnsi"/>
          <w:color w:val="000000"/>
          <w:lang w:eastAsia="fr-FR"/>
        </w:rPr>
        <w:instrText xml:space="preserve"> ADDIN ZOTERO_ITEM CSL_CITATION {"citationID":"tXwnU4XH","properties":{"formattedCitation":"(Bianquis, 2018; CNIL, 2020)","plainCitation":"(Bianquis, 2018; CNIL, 2020)","noteIndex":0},"citationItems":[{"id":448,"uris":["http://zotero.org/users/10583480/items/D34545A6"],"itemData":{"id":448,"type":"article-journal","container-title":"Regards croisés sur l'économie","DOI":"10.3917/rce.023.0156","ISSN":"1956-7413","issue":"2","language":"fr","note":"publisher: La Découverte","page":"156-160","source":"shs.cairn.info","title":"La protection juridique des données personnelles","volume":"23","author":[{"family":"Bianquis","given":"Gaspard"}],"issued":{"date-parts":[["2018"]]}}},{"id":453,"uris":["http://zotero.org/users/10583480/items/452R8J2H"],"itemData":{"id":453,"type":"webpage","abstract":"Qu’est-ce que l’anonymisation ? L’anonymisation est un traitement qui consiste à utiliser un ensemble de techniques de manière à rendre impossible, en pratique, toute identification de la personne par quelque moyen que ce soit et de manière irréversible. L’anonymisation ne doit pas être confondue avec la pseudonymisation.","language":"fr","title":"L’anonymisation de données personnelles","URL":"https://www.cnil.fr/fr/technologies/lanonymisation-de-donnees-personnelles","author":[{"family":"CNIL","given":""}],"accessed":{"date-parts":[["2025",4,23]]},"issued":{"date-parts":[["2020"]]}}}],"schema":"https://github.com/citation-style-language/schema/raw/master/csl-citation.json"} </w:instrText>
      </w:r>
      <w:r w:rsidR="00010CF6">
        <w:rPr>
          <w:rFonts w:eastAsia="Times New Roman" w:cstheme="minorHAnsi"/>
          <w:color w:val="000000"/>
          <w:lang w:eastAsia="fr-FR"/>
        </w:rPr>
        <w:fldChar w:fldCharType="separate"/>
      </w:r>
      <w:r w:rsidR="00010CF6">
        <w:rPr>
          <w:rFonts w:eastAsia="Times New Roman" w:cstheme="minorHAnsi"/>
          <w:noProof/>
          <w:color w:val="000000"/>
          <w:lang w:eastAsia="fr-FR"/>
        </w:rPr>
        <w:t>(Bianquis, 2018; CNIL, 2020)</w:t>
      </w:r>
      <w:r w:rsidR="00010CF6">
        <w:rPr>
          <w:rFonts w:eastAsia="Times New Roman" w:cstheme="minorHAnsi"/>
          <w:color w:val="000000"/>
          <w:lang w:eastAsia="fr-FR"/>
        </w:rPr>
        <w:fldChar w:fldCharType="end"/>
      </w:r>
      <w:r w:rsidR="00010CF6" w:rsidRPr="00C0572E">
        <w:rPr>
          <w:rFonts w:eastAsia="Times New Roman" w:cstheme="minorHAnsi"/>
          <w:color w:val="000000"/>
          <w:lang w:eastAsia="fr-FR"/>
        </w:rPr>
        <w:t>. Il est donc essentiel que chaque participant soit informé des conditions de traitement des données collectées et que son consentement explicite soit recueilli.</w:t>
      </w:r>
    </w:p>
    <w:p w14:paraId="697E1534" w14:textId="77777777" w:rsidR="00010CF6" w:rsidRDefault="00010CF6" w:rsidP="001C18E0">
      <w:pPr>
        <w:spacing w:before="100" w:beforeAutospacing="1" w:after="100" w:afterAutospacing="1" w:line="360" w:lineRule="auto"/>
        <w:ind w:firstLine="397"/>
        <w:jc w:val="both"/>
        <w:rPr>
          <w:rFonts w:eastAsia="Times New Roman" w:cstheme="minorHAnsi"/>
          <w:color w:val="000000"/>
          <w:lang w:eastAsia="fr-FR"/>
        </w:rPr>
      </w:pPr>
      <w:r w:rsidRPr="00C0572E">
        <w:rPr>
          <w:rFonts w:eastAsia="Times New Roman" w:cstheme="minorHAnsi"/>
          <w:color w:val="000000"/>
          <w:lang w:eastAsia="fr-FR"/>
        </w:rPr>
        <w:t>Ainsi, un texte d’introduction sera présenté au début du questionnaire. La participation ne pourra se faire qu’après que la personne a</w:t>
      </w:r>
      <w:r>
        <w:rPr>
          <w:rFonts w:eastAsia="Times New Roman" w:cstheme="minorHAnsi"/>
          <w:color w:val="000000"/>
          <w:lang w:eastAsia="fr-FR"/>
        </w:rPr>
        <w:t>it</w:t>
      </w:r>
      <w:r w:rsidRPr="00C0572E">
        <w:rPr>
          <w:rFonts w:eastAsia="Times New Roman" w:cstheme="minorHAnsi"/>
          <w:color w:val="000000"/>
          <w:lang w:eastAsia="fr-FR"/>
        </w:rPr>
        <w:t xml:space="preserve"> coché </w:t>
      </w:r>
      <w:r>
        <w:rPr>
          <w:rFonts w:eastAsia="Times New Roman" w:cstheme="minorHAnsi"/>
          <w:color w:val="000000"/>
          <w:lang w:eastAsia="fr-FR"/>
        </w:rPr>
        <w:t>la</w:t>
      </w:r>
      <w:r w:rsidRPr="00C0572E">
        <w:rPr>
          <w:rFonts w:eastAsia="Times New Roman" w:cstheme="minorHAnsi"/>
          <w:color w:val="000000"/>
          <w:lang w:eastAsia="fr-FR"/>
        </w:rPr>
        <w:t xml:space="preserve"> case validant son accord pour l’utilisation de ses données dans le cadre de cette recherche. Un code d’anonymisation sera aussi demandé afin de pouvoir possiblement supprimer ou rectifier des données collectées tout en conservant l’anonymat des participants.</w:t>
      </w:r>
    </w:p>
    <w:p w14:paraId="25EB08D8" w14:textId="56F0951B" w:rsidR="00E63D77" w:rsidRPr="00C0572E" w:rsidRDefault="00E63D77" w:rsidP="001C18E0">
      <w:pPr>
        <w:spacing w:before="100" w:beforeAutospacing="1" w:after="100" w:afterAutospacing="1" w:line="360" w:lineRule="auto"/>
        <w:ind w:firstLine="397"/>
        <w:jc w:val="both"/>
        <w:rPr>
          <w:rFonts w:eastAsia="Times New Roman" w:cstheme="minorHAnsi"/>
          <w:color w:val="000000"/>
          <w:lang w:eastAsia="fr-FR"/>
        </w:rPr>
      </w:pPr>
      <w:r>
        <w:rPr>
          <w:rFonts w:eastAsia="Times New Roman" w:cstheme="minorHAnsi"/>
          <w:color w:val="000000"/>
          <w:lang w:eastAsia="fr-FR"/>
        </w:rPr>
        <w:t>Le texte d’introduction du questionnaire est à retrouver en annexe (Annexe n°1).</w:t>
      </w:r>
    </w:p>
    <w:p w14:paraId="21AED5F6" w14:textId="0DB1E1B2" w:rsidR="00010CF6" w:rsidRDefault="00010CF6" w:rsidP="001C18E0">
      <w:pPr>
        <w:spacing w:line="360" w:lineRule="auto"/>
        <w:jc w:val="both"/>
        <w:rPr>
          <w:rFonts w:eastAsia="Times New Roman" w:cstheme="minorHAnsi"/>
          <w:color w:val="000000"/>
          <w:shd w:val="clear" w:color="auto" w:fill="FFFFFF"/>
          <w:lang w:eastAsia="fr-FR"/>
        </w:rPr>
      </w:pPr>
      <w:r w:rsidRPr="00C0572E">
        <w:rPr>
          <w:rFonts w:eastAsia="Times New Roman" w:cstheme="minorHAnsi"/>
          <w:color w:val="000000"/>
          <w:shd w:val="clear" w:color="auto" w:fill="FFFFFF"/>
          <w:lang w:eastAsia="fr-FR"/>
        </w:rPr>
        <w:t>.</w:t>
      </w:r>
    </w:p>
    <w:p w14:paraId="19417188" w14:textId="72EAF626" w:rsidR="00770EFB" w:rsidRDefault="00770EFB" w:rsidP="001C18E0">
      <w:pPr>
        <w:spacing w:line="360" w:lineRule="auto"/>
        <w:jc w:val="both"/>
      </w:pPr>
    </w:p>
    <w:p w14:paraId="35B3D9A2" w14:textId="77777777" w:rsidR="00CF068B" w:rsidRDefault="00CF068B" w:rsidP="001C18E0">
      <w:pPr>
        <w:spacing w:line="360" w:lineRule="auto"/>
        <w:jc w:val="both"/>
      </w:pPr>
    </w:p>
    <w:p w14:paraId="4EFD04F1" w14:textId="77777777" w:rsidR="00CF068B" w:rsidRDefault="00CF068B" w:rsidP="001C18E0">
      <w:pPr>
        <w:spacing w:line="360" w:lineRule="auto"/>
        <w:jc w:val="both"/>
      </w:pPr>
    </w:p>
    <w:p w14:paraId="0A02D2F5" w14:textId="77777777" w:rsidR="00CF068B" w:rsidRDefault="00CF068B" w:rsidP="001C18E0">
      <w:pPr>
        <w:spacing w:line="360" w:lineRule="auto"/>
        <w:jc w:val="both"/>
      </w:pPr>
    </w:p>
    <w:p w14:paraId="0B4D5371" w14:textId="77777777" w:rsidR="00CF068B" w:rsidRDefault="00CF068B" w:rsidP="001C18E0">
      <w:pPr>
        <w:spacing w:line="360" w:lineRule="auto"/>
        <w:jc w:val="both"/>
      </w:pPr>
    </w:p>
    <w:p w14:paraId="626F6257" w14:textId="77777777" w:rsidR="008E0722" w:rsidRDefault="008E0722" w:rsidP="001C18E0">
      <w:pPr>
        <w:spacing w:line="360" w:lineRule="auto"/>
        <w:jc w:val="both"/>
      </w:pPr>
    </w:p>
    <w:p w14:paraId="43278298" w14:textId="77777777" w:rsidR="00E63D77" w:rsidRDefault="00E63D77" w:rsidP="001C18E0">
      <w:pPr>
        <w:spacing w:line="360" w:lineRule="auto"/>
        <w:jc w:val="both"/>
      </w:pPr>
    </w:p>
    <w:p w14:paraId="4549A436" w14:textId="77777777" w:rsidR="00010CF6" w:rsidRDefault="00010CF6" w:rsidP="001C18E0">
      <w:pPr>
        <w:spacing w:line="360" w:lineRule="auto"/>
        <w:jc w:val="both"/>
      </w:pPr>
    </w:p>
    <w:p w14:paraId="50E7D8F3" w14:textId="54B19AB3" w:rsidR="00A73644" w:rsidRDefault="00A73644" w:rsidP="001C18E0">
      <w:pPr>
        <w:pStyle w:val="Titre1"/>
        <w:spacing w:line="360" w:lineRule="auto"/>
        <w:jc w:val="both"/>
      </w:pPr>
      <w:bookmarkStart w:id="55" w:name="_Toc221704635"/>
      <w:r>
        <w:lastRenderedPageBreak/>
        <w:t>Résultats</w:t>
      </w:r>
      <w:bookmarkEnd w:id="55"/>
    </w:p>
    <w:p w14:paraId="22E1E1D5" w14:textId="7721039C" w:rsidR="00A73644" w:rsidRDefault="00642C4C" w:rsidP="003C486B">
      <w:pPr>
        <w:spacing w:line="360" w:lineRule="auto"/>
        <w:jc w:val="both"/>
      </w:pPr>
      <w:r>
        <w:tab/>
        <w:t>La phase de collecte des données s’est étendue sur une période de 3 mois, de septembre à décembre 2025. A l’issue de cette période de diffusion multimodale et du tri permettant d’exclure les réponses ne respectant pas les critères de non-inclusion, 37 réponses ont été obtenues. Ce sont ces données qui font l’objet de l’analyse détaillée</w:t>
      </w:r>
      <w:r w:rsidR="00983D9E">
        <w:t xml:space="preserve"> </w:t>
      </w:r>
      <w:r>
        <w:t>ci-dessous. La population, défini</w:t>
      </w:r>
      <w:r w:rsidR="00983D9E">
        <w:t>e</w:t>
      </w:r>
      <w:r>
        <w:t xml:space="preserve"> comme « n », est n=37. </w:t>
      </w:r>
    </w:p>
    <w:p w14:paraId="7ABEF499" w14:textId="77777777" w:rsidR="003C486B" w:rsidRDefault="003C486B" w:rsidP="003C486B">
      <w:pPr>
        <w:spacing w:line="360" w:lineRule="auto"/>
        <w:jc w:val="both"/>
      </w:pPr>
    </w:p>
    <w:p w14:paraId="7A70B6B2" w14:textId="2A1DB426" w:rsidR="00642C4C" w:rsidRDefault="00642C4C" w:rsidP="003C486B">
      <w:pPr>
        <w:pStyle w:val="Titre2"/>
        <w:spacing w:line="360" w:lineRule="auto"/>
        <w:jc w:val="both"/>
      </w:pPr>
      <w:bookmarkStart w:id="56" w:name="_Toc221704636"/>
      <w:r>
        <w:t>Caractéristiques socio-démographiques</w:t>
      </w:r>
      <w:bookmarkEnd w:id="56"/>
    </w:p>
    <w:p w14:paraId="027A8A2F" w14:textId="40CED2B5" w:rsidR="00CB6B07" w:rsidRDefault="00642C4C" w:rsidP="003C486B">
      <w:pPr>
        <w:spacing w:line="360" w:lineRule="auto"/>
        <w:jc w:val="both"/>
      </w:pPr>
      <w:r>
        <w:tab/>
        <w:t>Cette section vise à décrire la population interrogée afin d’en apprécier la représentativité et de contextualis</w:t>
      </w:r>
      <w:r w:rsidR="00983D9E">
        <w:t>er</w:t>
      </w:r>
      <w:r>
        <w:t xml:space="preserve"> les pratiques déclarées</w:t>
      </w:r>
      <w:r w:rsidR="009D144A">
        <w:t xml:space="preserve"> (figure 7,8,9 et 10)</w:t>
      </w:r>
      <w:r w:rsidR="00CB6B07">
        <w:t>.</w:t>
      </w:r>
    </w:p>
    <w:p w14:paraId="5E89675B" w14:textId="2E74B186" w:rsidR="00CB6B07" w:rsidRDefault="00CB6B07" w:rsidP="003C486B">
      <w:pPr>
        <w:spacing w:line="360" w:lineRule="auto"/>
        <w:jc w:val="both"/>
      </w:pPr>
      <w:r>
        <w:tab/>
        <w:t xml:space="preserve"> </w:t>
      </w:r>
    </w:p>
    <w:p w14:paraId="121640AB" w14:textId="627A6088" w:rsidR="00CB6B07" w:rsidRDefault="00CB6B07" w:rsidP="00CB6B07">
      <w:pPr>
        <w:spacing w:line="360" w:lineRule="auto"/>
        <w:jc w:val="center"/>
      </w:pPr>
      <w:r>
        <w:rPr>
          <w:noProof/>
        </w:rPr>
        <w:drawing>
          <wp:inline distT="0" distB="0" distL="0" distR="0" wp14:anchorId="5C75990E" wp14:editId="7778314F">
            <wp:extent cx="2550306" cy="1608463"/>
            <wp:effectExtent l="0" t="0" r="15240" b="17145"/>
            <wp:docPr id="701029656" name="Graphique 1">
              <a:extLst xmlns:a="http://schemas.openxmlformats.org/drawingml/2006/main">
                <a:ext uri="{FF2B5EF4-FFF2-40B4-BE49-F238E27FC236}">
                  <a16:creationId xmlns:a16="http://schemas.microsoft.com/office/drawing/2014/main" id="{6177FD04-D61F-901C-D3DC-9D9EA38B8C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7AD0282" w14:textId="061611E4" w:rsidR="00CB6B07" w:rsidRDefault="00CB6B07" w:rsidP="00CB6B07">
      <w:pPr>
        <w:pStyle w:val="Lgende"/>
        <w:jc w:val="center"/>
      </w:pPr>
      <w:bookmarkStart w:id="57" w:name="_Toc221441346"/>
      <w:r>
        <w:t xml:space="preserve">Figure </w:t>
      </w:r>
      <w:r w:rsidR="006B2AE6">
        <w:fldChar w:fldCharType="begin"/>
      </w:r>
      <w:r w:rsidR="006B2AE6">
        <w:instrText xml:space="preserve"> SEQ Figure \* ARABIC </w:instrText>
      </w:r>
      <w:r w:rsidR="006B2AE6">
        <w:fldChar w:fldCharType="separate"/>
      </w:r>
      <w:r w:rsidR="00B93EA8">
        <w:rPr>
          <w:noProof/>
        </w:rPr>
        <w:t>7</w:t>
      </w:r>
      <w:r w:rsidR="006B2AE6">
        <w:rPr>
          <w:noProof/>
        </w:rPr>
        <w:fldChar w:fldCharType="end"/>
      </w:r>
      <w:r>
        <w:t xml:space="preserve">: </w:t>
      </w:r>
      <w:r w:rsidR="00664A41">
        <w:t>diagramm</w:t>
      </w:r>
      <w:r>
        <w:t>e de la répartition par genre de la population</w:t>
      </w:r>
      <w:bookmarkEnd w:id="57"/>
    </w:p>
    <w:p w14:paraId="46CAD425" w14:textId="77777777" w:rsidR="00CB6B07" w:rsidRDefault="00CB6B07" w:rsidP="00CB6B07"/>
    <w:p w14:paraId="301C9960" w14:textId="77777777" w:rsidR="00AD1EF7" w:rsidRDefault="00AD1EF7" w:rsidP="00AD1EF7">
      <w:pPr>
        <w:keepNext/>
        <w:jc w:val="center"/>
      </w:pPr>
      <w:r>
        <w:rPr>
          <w:noProof/>
        </w:rPr>
        <w:drawing>
          <wp:inline distT="0" distB="0" distL="0" distR="0" wp14:anchorId="35855FD7" wp14:editId="229C3FF2">
            <wp:extent cx="4553643" cy="2732184"/>
            <wp:effectExtent l="0" t="0" r="5715" b="0"/>
            <wp:docPr id="1033539309" name="Image 2" descr="Une image contenant ligne, diagramme, Tracé,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39309" name="Image 2" descr="Une image contenant ligne, diagramme, Tracé, capture d’écran&#10;&#10;Le contenu généré par l’IA peut êtr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70320" cy="2922190"/>
                    </a:xfrm>
                    <a:prstGeom prst="rect">
                      <a:avLst/>
                    </a:prstGeom>
                  </pic:spPr>
                </pic:pic>
              </a:graphicData>
            </a:graphic>
          </wp:inline>
        </w:drawing>
      </w:r>
    </w:p>
    <w:p w14:paraId="2ACB095D" w14:textId="43A66E98" w:rsidR="00CB6B07" w:rsidRDefault="00AD1EF7" w:rsidP="00AD1EF7">
      <w:pPr>
        <w:pStyle w:val="Lgende"/>
        <w:jc w:val="center"/>
      </w:pPr>
      <w:bookmarkStart w:id="58" w:name="_Toc221441347"/>
      <w:r>
        <w:t xml:space="preserve">Figure </w:t>
      </w:r>
      <w:r w:rsidR="006B2AE6">
        <w:fldChar w:fldCharType="begin"/>
      </w:r>
      <w:r w:rsidR="006B2AE6">
        <w:instrText xml:space="preserve"> SEQ Figure \* ARABIC </w:instrText>
      </w:r>
      <w:r w:rsidR="006B2AE6">
        <w:fldChar w:fldCharType="separate"/>
      </w:r>
      <w:r w:rsidR="00B93EA8">
        <w:rPr>
          <w:noProof/>
        </w:rPr>
        <w:t>8</w:t>
      </w:r>
      <w:r w:rsidR="006B2AE6">
        <w:rPr>
          <w:noProof/>
        </w:rPr>
        <w:fldChar w:fldCharType="end"/>
      </w:r>
      <w:r>
        <w:t xml:space="preserve">: </w:t>
      </w:r>
      <w:r w:rsidR="00664A41">
        <w:t>histogramme</w:t>
      </w:r>
      <w:r>
        <w:t xml:space="preserve"> de la répartition par âge des participants</w:t>
      </w:r>
      <w:bookmarkEnd w:id="58"/>
      <w:r w:rsidR="00664A41">
        <w:t xml:space="preserve"> </w:t>
      </w:r>
    </w:p>
    <w:p w14:paraId="5035BE86" w14:textId="2E1AFC14" w:rsidR="00664A41" w:rsidRDefault="00AD1EF7" w:rsidP="00664A41">
      <w:pPr>
        <w:spacing w:line="360" w:lineRule="auto"/>
        <w:jc w:val="both"/>
      </w:pPr>
      <w:r>
        <w:lastRenderedPageBreak/>
        <w:tab/>
      </w:r>
      <w:r w:rsidR="003670A8">
        <w:t xml:space="preserve"> </w:t>
      </w:r>
      <w:r w:rsidR="00664A41">
        <w:t xml:space="preserve">L’analyse du type de structure dans lesquelles interviennent les participant révèle une prédominance massive de l’exercice libérale, ce qui reflète la répartition réelle de l’exercice de la kinésithérapie en </w:t>
      </w:r>
      <w:r w:rsidR="00664A41">
        <w:t>France (figure 9)</w:t>
      </w:r>
      <w:r w:rsidR="00664A41">
        <w:t xml:space="preserve">. Cette représentation est d’autant plus intéressante pour l’étude puisque le milieu libéral est le secteur où les contraintes identifiées (perte de temps, manque de matériel...) sont les plus importantes. Ce qui pourrait influencer le choix des tests. </w:t>
      </w:r>
    </w:p>
    <w:p w14:paraId="51525F50" w14:textId="38DB0CF2" w:rsidR="00AD1EF7" w:rsidRDefault="00AD1EF7" w:rsidP="00AD1EF7">
      <w:pPr>
        <w:spacing w:line="360" w:lineRule="auto"/>
        <w:jc w:val="both"/>
      </w:pPr>
    </w:p>
    <w:p w14:paraId="3EB71CFE" w14:textId="77777777" w:rsidR="003670A8" w:rsidRDefault="003670A8" w:rsidP="003670A8">
      <w:pPr>
        <w:keepNext/>
        <w:spacing w:line="360" w:lineRule="auto"/>
        <w:jc w:val="center"/>
      </w:pPr>
      <w:r>
        <w:rPr>
          <w:noProof/>
        </w:rPr>
        <w:drawing>
          <wp:inline distT="0" distB="0" distL="0" distR="0" wp14:anchorId="2D95B253" wp14:editId="7D7F4A49">
            <wp:extent cx="5191282" cy="3114653"/>
            <wp:effectExtent l="0" t="0" r="3175" b="0"/>
            <wp:docPr id="1523032014" name="Image 4" descr="Une image contenant capture d’écran, Tracé, text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32014" name="Image 4" descr="Une image contenant capture d’écran, Tracé, texte, ligne&#10;&#10;Le contenu généré par l’IA peut êtr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98369" cy="3178903"/>
                    </a:xfrm>
                    <a:prstGeom prst="rect">
                      <a:avLst/>
                    </a:prstGeom>
                  </pic:spPr>
                </pic:pic>
              </a:graphicData>
            </a:graphic>
          </wp:inline>
        </w:drawing>
      </w:r>
    </w:p>
    <w:p w14:paraId="79FA4862" w14:textId="721C3757" w:rsidR="00A73644" w:rsidRDefault="003670A8" w:rsidP="00596423">
      <w:pPr>
        <w:pStyle w:val="Lgende"/>
        <w:jc w:val="center"/>
      </w:pPr>
      <w:bookmarkStart w:id="59" w:name="_Toc221441348"/>
      <w:r>
        <w:t xml:space="preserve">Figure </w:t>
      </w:r>
      <w:r w:rsidR="006B2AE6">
        <w:fldChar w:fldCharType="begin"/>
      </w:r>
      <w:r w:rsidR="006B2AE6">
        <w:instrText xml:space="preserve"> SEQ Figure \* ARABIC </w:instrText>
      </w:r>
      <w:r w:rsidR="006B2AE6">
        <w:fldChar w:fldCharType="separate"/>
      </w:r>
      <w:r w:rsidR="00B93EA8">
        <w:rPr>
          <w:noProof/>
        </w:rPr>
        <w:t>9</w:t>
      </w:r>
      <w:r w:rsidR="006B2AE6">
        <w:rPr>
          <w:noProof/>
        </w:rPr>
        <w:fldChar w:fldCharType="end"/>
      </w:r>
      <w:r>
        <w:t xml:space="preserve">: </w:t>
      </w:r>
      <w:r w:rsidR="00664A41">
        <w:t>Histogramme</w:t>
      </w:r>
      <w:r>
        <w:t xml:space="preserve"> de répartition des participants en fonction du type de structure</w:t>
      </w:r>
      <w:r w:rsidR="00664A41">
        <w:t xml:space="preserve"> </w:t>
      </w:r>
      <w:r w:rsidR="00664A41">
        <w:t>(en nombre de répondants)</w:t>
      </w:r>
      <w:bookmarkEnd w:id="59"/>
    </w:p>
    <w:p w14:paraId="56007B36" w14:textId="77777777" w:rsidR="00596423" w:rsidRPr="00596423" w:rsidRDefault="00596423" w:rsidP="00596423"/>
    <w:p w14:paraId="50B2D037" w14:textId="08277575" w:rsidR="00A73644" w:rsidRDefault="003670A8" w:rsidP="001C18E0">
      <w:pPr>
        <w:spacing w:line="360" w:lineRule="auto"/>
        <w:jc w:val="both"/>
      </w:pPr>
      <w:r>
        <w:tab/>
      </w:r>
    </w:p>
    <w:p w14:paraId="2CA1BB2E" w14:textId="77777777" w:rsidR="003670A8" w:rsidRDefault="003670A8" w:rsidP="003670A8">
      <w:pPr>
        <w:keepNext/>
        <w:spacing w:line="360" w:lineRule="auto"/>
        <w:jc w:val="center"/>
      </w:pPr>
      <w:r>
        <w:rPr>
          <w:noProof/>
        </w:rPr>
        <w:lastRenderedPageBreak/>
        <w:drawing>
          <wp:inline distT="0" distB="0" distL="0" distR="0" wp14:anchorId="70A65352" wp14:editId="05D63A46">
            <wp:extent cx="5513801" cy="3308279"/>
            <wp:effectExtent l="0" t="0" r="0" b="0"/>
            <wp:docPr id="1256286145" name="Image 3" descr="Une image contenant texte, capture d’écran, diagramm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86145" name="Image 3" descr="Une image contenant texte, capture d’écran, diagramme, ligne&#10;&#10;Le contenu généré par l’IA peut êtr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97847" cy="3358707"/>
                    </a:xfrm>
                    <a:prstGeom prst="rect">
                      <a:avLst/>
                    </a:prstGeom>
                  </pic:spPr>
                </pic:pic>
              </a:graphicData>
            </a:graphic>
          </wp:inline>
        </w:drawing>
      </w:r>
    </w:p>
    <w:p w14:paraId="238E27F5" w14:textId="00A2ACA8" w:rsidR="00A73644" w:rsidRDefault="003670A8" w:rsidP="003C486B">
      <w:pPr>
        <w:pStyle w:val="Lgende"/>
        <w:jc w:val="center"/>
      </w:pPr>
      <w:bookmarkStart w:id="60" w:name="_Toc221441349"/>
      <w:r>
        <w:t xml:space="preserve">Figure </w:t>
      </w:r>
      <w:r w:rsidR="006B2AE6">
        <w:fldChar w:fldCharType="begin"/>
      </w:r>
      <w:r w:rsidR="006B2AE6">
        <w:instrText xml:space="preserve"> SEQ Figure \* ARABIC </w:instrText>
      </w:r>
      <w:r w:rsidR="006B2AE6">
        <w:fldChar w:fldCharType="separate"/>
      </w:r>
      <w:r w:rsidR="00B93EA8">
        <w:rPr>
          <w:noProof/>
        </w:rPr>
        <w:t>10</w:t>
      </w:r>
      <w:r w:rsidR="006B2AE6">
        <w:rPr>
          <w:noProof/>
        </w:rPr>
        <w:fldChar w:fldCharType="end"/>
      </w:r>
      <w:r>
        <w:t>: répartition géographique des participants</w:t>
      </w:r>
      <w:r w:rsidR="00664A41">
        <w:t xml:space="preserve"> </w:t>
      </w:r>
      <w:r w:rsidR="00664A41">
        <w:t>(en nombre de répondants)</w:t>
      </w:r>
      <w:bookmarkEnd w:id="60"/>
    </w:p>
    <w:p w14:paraId="04E7F690" w14:textId="77777777" w:rsidR="003C486B" w:rsidRDefault="003C486B" w:rsidP="003C486B"/>
    <w:p w14:paraId="475CA30F" w14:textId="77777777" w:rsidR="00C77CE2" w:rsidRDefault="00C77CE2" w:rsidP="003C486B"/>
    <w:p w14:paraId="37A4A9D0" w14:textId="77777777" w:rsidR="00C77CE2" w:rsidRDefault="00C77CE2" w:rsidP="003C486B"/>
    <w:p w14:paraId="596A5429" w14:textId="77777777" w:rsidR="00C77CE2" w:rsidRPr="003C486B" w:rsidRDefault="00C77CE2" w:rsidP="003C486B"/>
    <w:tbl>
      <w:tblPr>
        <w:tblStyle w:val="Grilledutableau"/>
        <w:tblpPr w:leftFromText="141" w:rightFromText="141" w:vertAnchor="text" w:horzAnchor="margin" w:tblpY="1246"/>
        <w:tblW w:w="9532" w:type="dxa"/>
        <w:tblLook w:val="04A0" w:firstRow="1" w:lastRow="0" w:firstColumn="1" w:lastColumn="0" w:noHBand="0" w:noVBand="1"/>
      </w:tblPr>
      <w:tblGrid>
        <w:gridCol w:w="4766"/>
        <w:gridCol w:w="4766"/>
      </w:tblGrid>
      <w:tr w:rsidR="00790565" w14:paraId="3D2E6F8B" w14:textId="77777777" w:rsidTr="00790565">
        <w:trPr>
          <w:trHeight w:val="509"/>
        </w:trPr>
        <w:tc>
          <w:tcPr>
            <w:tcW w:w="4766" w:type="dxa"/>
          </w:tcPr>
          <w:p w14:paraId="675D661E" w14:textId="77777777" w:rsidR="00790565" w:rsidRDefault="00790565" w:rsidP="00790565">
            <w:pPr>
              <w:spacing w:line="360" w:lineRule="auto"/>
              <w:jc w:val="both"/>
            </w:pPr>
            <w:r>
              <w:t xml:space="preserve">Moins de 5 ans </w:t>
            </w:r>
          </w:p>
        </w:tc>
        <w:tc>
          <w:tcPr>
            <w:tcW w:w="4766" w:type="dxa"/>
          </w:tcPr>
          <w:p w14:paraId="05237AE6" w14:textId="77777777" w:rsidR="00790565" w:rsidRDefault="00790565" w:rsidP="00790565">
            <w:pPr>
              <w:spacing w:line="360" w:lineRule="auto"/>
              <w:jc w:val="both"/>
            </w:pPr>
            <w:r>
              <w:t>2</w:t>
            </w:r>
          </w:p>
        </w:tc>
      </w:tr>
      <w:tr w:rsidR="00790565" w14:paraId="75B38841" w14:textId="77777777" w:rsidTr="00790565">
        <w:trPr>
          <w:trHeight w:val="509"/>
        </w:trPr>
        <w:tc>
          <w:tcPr>
            <w:tcW w:w="4766" w:type="dxa"/>
          </w:tcPr>
          <w:p w14:paraId="397A04DC" w14:textId="77777777" w:rsidR="00790565" w:rsidRDefault="00790565" w:rsidP="00790565">
            <w:pPr>
              <w:spacing w:line="360" w:lineRule="auto"/>
              <w:jc w:val="both"/>
            </w:pPr>
            <w:r>
              <w:t xml:space="preserve">Entre 5 et 10 ans </w:t>
            </w:r>
          </w:p>
        </w:tc>
        <w:tc>
          <w:tcPr>
            <w:tcW w:w="4766" w:type="dxa"/>
          </w:tcPr>
          <w:p w14:paraId="19192BD7" w14:textId="77777777" w:rsidR="00790565" w:rsidRDefault="00790565" w:rsidP="00790565">
            <w:pPr>
              <w:spacing w:line="360" w:lineRule="auto"/>
              <w:jc w:val="both"/>
            </w:pPr>
            <w:r>
              <w:t>12</w:t>
            </w:r>
          </w:p>
        </w:tc>
      </w:tr>
      <w:tr w:rsidR="00790565" w14:paraId="35878219" w14:textId="77777777" w:rsidTr="00790565">
        <w:trPr>
          <w:trHeight w:val="509"/>
        </w:trPr>
        <w:tc>
          <w:tcPr>
            <w:tcW w:w="4766" w:type="dxa"/>
          </w:tcPr>
          <w:p w14:paraId="037F2BD0" w14:textId="77777777" w:rsidR="00790565" w:rsidRDefault="00790565" w:rsidP="00790565">
            <w:pPr>
              <w:spacing w:line="360" w:lineRule="auto"/>
              <w:jc w:val="both"/>
            </w:pPr>
            <w:r>
              <w:t xml:space="preserve">Entre 11 et 20 ans </w:t>
            </w:r>
          </w:p>
        </w:tc>
        <w:tc>
          <w:tcPr>
            <w:tcW w:w="4766" w:type="dxa"/>
          </w:tcPr>
          <w:p w14:paraId="40C08A54" w14:textId="77777777" w:rsidR="00790565" w:rsidRDefault="00790565" w:rsidP="00790565">
            <w:pPr>
              <w:spacing w:line="360" w:lineRule="auto"/>
              <w:jc w:val="both"/>
            </w:pPr>
            <w:r>
              <w:t>9</w:t>
            </w:r>
          </w:p>
        </w:tc>
      </w:tr>
      <w:tr w:rsidR="00790565" w14:paraId="657B3360" w14:textId="77777777" w:rsidTr="00790565">
        <w:trPr>
          <w:trHeight w:val="483"/>
        </w:trPr>
        <w:tc>
          <w:tcPr>
            <w:tcW w:w="4766" w:type="dxa"/>
          </w:tcPr>
          <w:p w14:paraId="2A96BACC" w14:textId="77777777" w:rsidR="00790565" w:rsidRDefault="00790565" w:rsidP="00790565">
            <w:pPr>
              <w:spacing w:line="360" w:lineRule="auto"/>
              <w:jc w:val="both"/>
            </w:pPr>
            <w:r>
              <w:t xml:space="preserve">Plus de 20 ans </w:t>
            </w:r>
          </w:p>
        </w:tc>
        <w:tc>
          <w:tcPr>
            <w:tcW w:w="4766" w:type="dxa"/>
          </w:tcPr>
          <w:p w14:paraId="7388E30C" w14:textId="77777777" w:rsidR="00790565" w:rsidRDefault="00790565" w:rsidP="00790565">
            <w:pPr>
              <w:spacing w:line="360" w:lineRule="auto"/>
              <w:jc w:val="both"/>
            </w:pPr>
            <w:r>
              <w:t>14</w:t>
            </w:r>
          </w:p>
        </w:tc>
      </w:tr>
    </w:tbl>
    <w:p w14:paraId="37BBFFC3" w14:textId="59763774" w:rsidR="00790565" w:rsidRDefault="002A2DC9" w:rsidP="001C18E0">
      <w:pPr>
        <w:spacing w:line="360" w:lineRule="auto"/>
        <w:jc w:val="both"/>
      </w:pPr>
      <w:r>
        <w:tab/>
      </w:r>
      <w:r w:rsidR="00C77CE2">
        <w:t>Ce tableau a pour objectif de rendre compte des années de</w:t>
      </w:r>
      <w:r w:rsidR="00983D9E">
        <w:t>s</w:t>
      </w:r>
      <w:r w:rsidR="00C77CE2">
        <w:t xml:space="preserve"> pratiques des praticiens </w:t>
      </w:r>
      <w:r w:rsidR="009D144A">
        <w:t>interrogés (tableau 1)</w:t>
      </w:r>
      <w:r w:rsidR="00C77CE2">
        <w:t>.</w:t>
      </w:r>
    </w:p>
    <w:p w14:paraId="34C100FC" w14:textId="77777777" w:rsidR="00790565" w:rsidRDefault="00790565" w:rsidP="001C18E0">
      <w:pPr>
        <w:spacing w:line="360" w:lineRule="auto"/>
        <w:jc w:val="both"/>
      </w:pPr>
    </w:p>
    <w:p w14:paraId="52283E1C" w14:textId="77777777" w:rsidR="00C0462A" w:rsidRDefault="00C0462A" w:rsidP="003C486B">
      <w:pPr>
        <w:pStyle w:val="Lgende"/>
        <w:keepNext/>
        <w:jc w:val="center"/>
      </w:pPr>
    </w:p>
    <w:p w14:paraId="69BFA6E7" w14:textId="7D6AA667" w:rsidR="003C486B" w:rsidRDefault="00790565" w:rsidP="00596423">
      <w:pPr>
        <w:pStyle w:val="Lgende"/>
        <w:keepNext/>
        <w:jc w:val="center"/>
      </w:pPr>
      <w:bookmarkStart w:id="61" w:name="_Toc221441182"/>
      <w:r>
        <w:t xml:space="preserve">Tableau </w:t>
      </w:r>
      <w:r w:rsidR="004018AD">
        <w:fldChar w:fldCharType="begin"/>
      </w:r>
      <w:r w:rsidR="004018AD">
        <w:instrText xml:space="preserve"> SEQ Tableau \* ARABIC </w:instrText>
      </w:r>
      <w:r w:rsidR="004018AD">
        <w:fldChar w:fldCharType="separate"/>
      </w:r>
      <w:r w:rsidR="00B93EA8">
        <w:rPr>
          <w:noProof/>
        </w:rPr>
        <w:t>1</w:t>
      </w:r>
      <w:r w:rsidR="004018AD">
        <w:rPr>
          <w:noProof/>
        </w:rPr>
        <w:fldChar w:fldCharType="end"/>
      </w:r>
      <w:r>
        <w:t>: Années de pratique par participant</w:t>
      </w:r>
      <w:r w:rsidR="00664A41">
        <w:t xml:space="preserve"> </w:t>
      </w:r>
      <w:r w:rsidR="00664A41">
        <w:t>(en nombre de répondants)</w:t>
      </w:r>
      <w:bookmarkEnd w:id="61"/>
    </w:p>
    <w:p w14:paraId="34AAB386" w14:textId="77777777" w:rsidR="00596423" w:rsidRPr="00596423" w:rsidRDefault="00596423" w:rsidP="00596423"/>
    <w:p w14:paraId="55D39620" w14:textId="77777777" w:rsidR="00FA419F" w:rsidRDefault="003C486B" w:rsidP="001C18E0">
      <w:pPr>
        <w:spacing w:line="360" w:lineRule="auto"/>
        <w:jc w:val="both"/>
      </w:pPr>
      <w:r>
        <w:tab/>
      </w:r>
    </w:p>
    <w:p w14:paraId="120F8A5A" w14:textId="77777777" w:rsidR="00FA419F" w:rsidRDefault="00FA419F" w:rsidP="001C18E0">
      <w:pPr>
        <w:spacing w:line="360" w:lineRule="auto"/>
        <w:jc w:val="both"/>
      </w:pPr>
    </w:p>
    <w:p w14:paraId="2F1AC308" w14:textId="31332497" w:rsidR="00010CF6" w:rsidRDefault="009D144A" w:rsidP="001C18E0">
      <w:pPr>
        <w:spacing w:line="360" w:lineRule="auto"/>
        <w:jc w:val="both"/>
      </w:pPr>
      <w:r>
        <w:lastRenderedPageBreak/>
        <w:t>Cet histogramme</w:t>
      </w:r>
      <w:r w:rsidR="00C77CE2">
        <w:t xml:space="preserve"> permet d’apprécier la proportion de personnes âgées que les praticiens prennent en soin quotidiennement</w:t>
      </w:r>
      <w:r>
        <w:t xml:space="preserve"> (figure 11)</w:t>
      </w:r>
      <w:r w:rsidR="00C77CE2">
        <w:t>.</w:t>
      </w:r>
    </w:p>
    <w:p w14:paraId="67CDD54E" w14:textId="01E67D1B" w:rsidR="003C486B" w:rsidRDefault="003C486B" w:rsidP="00C0462A">
      <w:pPr>
        <w:spacing w:line="360" w:lineRule="auto"/>
        <w:jc w:val="center"/>
      </w:pPr>
      <w:r>
        <w:rPr>
          <w:noProof/>
        </w:rPr>
        <w:drawing>
          <wp:inline distT="0" distB="0" distL="0" distR="0" wp14:anchorId="2D9A2C85" wp14:editId="47BA3700">
            <wp:extent cx="6226320" cy="3735658"/>
            <wp:effectExtent l="0" t="0" r="0" b="0"/>
            <wp:docPr id="1879589803" name="Image 5" descr="Une image contenant capture d’écran, texte, Rectangl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89803" name="Image 5" descr="Une image contenant capture d’écran, texte, Rectangle, ligne&#10;&#10;Le contenu généré par l’IA peut êtr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08637" cy="3845044"/>
                    </a:xfrm>
                    <a:prstGeom prst="rect">
                      <a:avLst/>
                    </a:prstGeom>
                  </pic:spPr>
                </pic:pic>
              </a:graphicData>
            </a:graphic>
          </wp:inline>
        </w:drawing>
      </w:r>
    </w:p>
    <w:p w14:paraId="4C710342" w14:textId="66070445" w:rsidR="00CF068B" w:rsidRDefault="003C486B" w:rsidP="00596423">
      <w:pPr>
        <w:pStyle w:val="Lgende"/>
        <w:jc w:val="center"/>
      </w:pPr>
      <w:bookmarkStart w:id="62" w:name="_Toc221441350"/>
      <w:r>
        <w:t xml:space="preserve">Figure </w:t>
      </w:r>
      <w:r w:rsidR="006B2AE6">
        <w:fldChar w:fldCharType="begin"/>
      </w:r>
      <w:r w:rsidR="006B2AE6">
        <w:instrText xml:space="preserve"> SEQ Figure \* ARABIC </w:instrText>
      </w:r>
      <w:r w:rsidR="006B2AE6">
        <w:fldChar w:fldCharType="separate"/>
      </w:r>
      <w:r w:rsidR="00B93EA8">
        <w:rPr>
          <w:noProof/>
        </w:rPr>
        <w:t>11</w:t>
      </w:r>
      <w:r w:rsidR="006B2AE6">
        <w:rPr>
          <w:noProof/>
        </w:rPr>
        <w:fldChar w:fldCharType="end"/>
      </w:r>
      <w:r>
        <w:t xml:space="preserve">: Proportion des PA parmi la patientèle des participants </w:t>
      </w:r>
      <w:r w:rsidR="00664A41">
        <w:t>(en nombre de répondants)</w:t>
      </w:r>
      <w:bookmarkEnd w:id="62"/>
    </w:p>
    <w:p w14:paraId="62A16CA6" w14:textId="77777777" w:rsidR="00596423" w:rsidRDefault="00596423" w:rsidP="00596423"/>
    <w:p w14:paraId="184BE6E5" w14:textId="77777777" w:rsidR="00664A41" w:rsidRPr="00596423" w:rsidRDefault="00664A41" w:rsidP="00596423"/>
    <w:p w14:paraId="16DDBBE8" w14:textId="00B7DE92" w:rsidR="00CF068B" w:rsidRDefault="00C0462A" w:rsidP="0081514C">
      <w:pPr>
        <w:pStyle w:val="Titre2"/>
        <w:spacing w:line="360" w:lineRule="auto"/>
      </w:pPr>
      <w:bookmarkStart w:id="63" w:name="_Toc221704637"/>
      <w:r>
        <w:t>Pratiques générales d’évaluation de l’équilibre</w:t>
      </w:r>
      <w:bookmarkEnd w:id="63"/>
      <w:r>
        <w:t xml:space="preserve"> </w:t>
      </w:r>
    </w:p>
    <w:p w14:paraId="37325BA1" w14:textId="24E07BFF" w:rsidR="00FA419F" w:rsidRDefault="0081514C" w:rsidP="0081514C">
      <w:pPr>
        <w:spacing w:line="360" w:lineRule="auto"/>
        <w:jc w:val="both"/>
      </w:pPr>
      <w:r>
        <w:tab/>
      </w:r>
      <w:r w:rsidR="00C77CE2">
        <w:t>Cette section vise à rendre compte des différentes pratiques de nos praticiens interrogés quant à l’évaluation de l’équilibre pour laquelle ils optent.</w:t>
      </w:r>
    </w:p>
    <w:p w14:paraId="0210800B" w14:textId="77777777" w:rsidR="00FA419F" w:rsidRDefault="00FA419F" w:rsidP="00FA419F">
      <w:pPr>
        <w:spacing w:line="360" w:lineRule="auto"/>
        <w:jc w:val="both"/>
      </w:pPr>
    </w:p>
    <w:p w14:paraId="5E926209" w14:textId="77777777" w:rsidR="00FA419F" w:rsidRDefault="00FA419F" w:rsidP="00FA419F">
      <w:pPr>
        <w:spacing w:line="360" w:lineRule="auto"/>
        <w:jc w:val="both"/>
      </w:pPr>
    </w:p>
    <w:p w14:paraId="7CB57599" w14:textId="77777777" w:rsidR="00FA419F" w:rsidRDefault="00FA419F" w:rsidP="00FA419F">
      <w:pPr>
        <w:spacing w:line="360" w:lineRule="auto"/>
        <w:jc w:val="both"/>
      </w:pPr>
    </w:p>
    <w:p w14:paraId="7917A893" w14:textId="77777777" w:rsidR="00FA419F" w:rsidRDefault="00FA419F" w:rsidP="00FA419F">
      <w:pPr>
        <w:spacing w:line="360" w:lineRule="auto"/>
        <w:jc w:val="both"/>
      </w:pPr>
    </w:p>
    <w:p w14:paraId="0AA27495" w14:textId="77777777" w:rsidR="00FA419F" w:rsidRDefault="00FA419F" w:rsidP="00FA419F">
      <w:pPr>
        <w:spacing w:line="360" w:lineRule="auto"/>
        <w:jc w:val="both"/>
      </w:pPr>
    </w:p>
    <w:p w14:paraId="7EAE4FC3" w14:textId="77777777" w:rsidR="00FA419F" w:rsidRDefault="00FA419F" w:rsidP="00FA419F">
      <w:pPr>
        <w:spacing w:line="360" w:lineRule="auto"/>
        <w:jc w:val="both"/>
      </w:pPr>
    </w:p>
    <w:p w14:paraId="3362507C" w14:textId="77777777" w:rsidR="00FA419F" w:rsidRDefault="00FA419F" w:rsidP="00FA419F">
      <w:pPr>
        <w:spacing w:line="360" w:lineRule="auto"/>
        <w:jc w:val="both"/>
      </w:pPr>
    </w:p>
    <w:p w14:paraId="39567748" w14:textId="155F28D6" w:rsidR="00CF068B" w:rsidRDefault="009D144A" w:rsidP="00FA419F">
      <w:pPr>
        <w:spacing w:line="360" w:lineRule="auto"/>
        <w:jc w:val="both"/>
      </w:pPr>
      <w:r>
        <w:lastRenderedPageBreak/>
        <w:t>Ce diagramme en bâton</w:t>
      </w:r>
      <w:r w:rsidR="00C77CE2">
        <w:t xml:space="preserve"> </w:t>
      </w:r>
      <w:r w:rsidR="003B7C07">
        <w:t>décrit la fréquence d’évaluation du contrôle postural</w:t>
      </w:r>
      <w:r>
        <w:t xml:space="preserve"> (figure 12)</w:t>
      </w:r>
      <w:r w:rsidR="003B7C07">
        <w:t>.</w:t>
      </w:r>
      <w:r w:rsidR="00DE49EB">
        <w:t xml:space="preserve"> </w:t>
      </w:r>
    </w:p>
    <w:p w14:paraId="1F5D5F21" w14:textId="41793302" w:rsidR="00DE49EB" w:rsidRDefault="00DE49EB" w:rsidP="00DE49EB">
      <w:pPr>
        <w:keepNext/>
        <w:spacing w:line="360" w:lineRule="auto"/>
        <w:jc w:val="center"/>
      </w:pPr>
      <w:r>
        <w:rPr>
          <w:noProof/>
        </w:rPr>
        <w:drawing>
          <wp:inline distT="0" distB="0" distL="0" distR="0" wp14:anchorId="61A6B1E9" wp14:editId="4AF61280">
            <wp:extent cx="6345523" cy="3701668"/>
            <wp:effectExtent l="0" t="0" r="5080" b="0"/>
            <wp:docPr id="1541286664" name="Image 5" descr="Une image contenant diagramme, ligne, Tracé,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86664" name="Image 5" descr="Une image contenant diagramme, ligne, Tracé, capture d’écran&#10;&#10;Le contenu généré par l’IA peut êtr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615157" cy="3858959"/>
                    </a:xfrm>
                    <a:prstGeom prst="rect">
                      <a:avLst/>
                    </a:prstGeom>
                  </pic:spPr>
                </pic:pic>
              </a:graphicData>
            </a:graphic>
          </wp:inline>
        </w:drawing>
      </w:r>
    </w:p>
    <w:p w14:paraId="287943A7" w14:textId="7D70B10C" w:rsidR="00CF068B" w:rsidRDefault="00DE49EB" w:rsidP="00DE49EB">
      <w:pPr>
        <w:pStyle w:val="Lgende"/>
        <w:jc w:val="center"/>
      </w:pPr>
      <w:bookmarkStart w:id="64" w:name="_Toc221441351"/>
      <w:r>
        <w:t xml:space="preserve">Figure </w:t>
      </w:r>
      <w:r w:rsidR="006B2AE6">
        <w:fldChar w:fldCharType="begin"/>
      </w:r>
      <w:r w:rsidR="006B2AE6">
        <w:instrText xml:space="preserve"> SEQ Figure \* ARABIC </w:instrText>
      </w:r>
      <w:r w:rsidR="006B2AE6">
        <w:fldChar w:fldCharType="separate"/>
      </w:r>
      <w:r w:rsidR="00B93EA8">
        <w:rPr>
          <w:noProof/>
        </w:rPr>
        <w:t>12</w:t>
      </w:r>
      <w:r w:rsidR="006B2AE6">
        <w:rPr>
          <w:noProof/>
        </w:rPr>
        <w:fldChar w:fldCharType="end"/>
      </w:r>
      <w:r>
        <w:t>: Distribution de la fréquence d'évaluation de l'équilibre</w:t>
      </w:r>
      <w:r w:rsidR="00664A41">
        <w:t xml:space="preserve"> (en nombre de répondants)</w:t>
      </w:r>
      <w:bookmarkEnd w:id="64"/>
    </w:p>
    <w:p w14:paraId="3FAA945A" w14:textId="6AB7BB57" w:rsidR="00DE49EB" w:rsidRDefault="00DE49EB" w:rsidP="004018AD">
      <w:pPr>
        <w:spacing w:line="360" w:lineRule="auto"/>
        <w:jc w:val="both"/>
      </w:pPr>
    </w:p>
    <w:p w14:paraId="572EDD7A" w14:textId="23EF0A3D" w:rsidR="00DE49EB" w:rsidRDefault="003B7C07" w:rsidP="004018AD">
      <w:pPr>
        <w:spacing w:line="360" w:lineRule="auto"/>
        <w:jc w:val="both"/>
      </w:pPr>
      <w:r>
        <w:t>L</w:t>
      </w:r>
      <w:r w:rsidR="00664A41">
        <w:t>’histogramme</w:t>
      </w:r>
      <w:r>
        <w:t xml:space="preserve"> suivant permet de rendre compte du temps que chaque participant consacre à l’évaluation de l’équilibre</w:t>
      </w:r>
      <w:r w:rsidR="009D144A">
        <w:t xml:space="preserve"> (figure 13)</w:t>
      </w:r>
      <w:r>
        <w:t>.</w:t>
      </w:r>
    </w:p>
    <w:p w14:paraId="7629866D" w14:textId="77777777" w:rsidR="004018AD" w:rsidRDefault="00DE49EB" w:rsidP="004018AD">
      <w:pPr>
        <w:keepNext/>
        <w:jc w:val="center"/>
      </w:pPr>
      <w:r w:rsidRPr="00DE49EB">
        <w:rPr>
          <w:noProof/>
        </w:rPr>
        <w:drawing>
          <wp:inline distT="0" distB="0" distL="0" distR="0" wp14:anchorId="0517A208" wp14:editId="26098534">
            <wp:extent cx="5122839" cy="3073706"/>
            <wp:effectExtent l="0" t="0" r="0" b="0"/>
            <wp:docPr id="748556800" name="Image 1" descr="Une image contenant texte, diagramm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56800" name="Image 1" descr="Une image contenant texte, diagramme, capture d’écran, ligne&#10;&#10;Le contenu généré par l’IA peut être incorrect."/>
                    <pic:cNvPicPr/>
                  </pic:nvPicPr>
                  <pic:blipFill>
                    <a:blip r:embed="rId26"/>
                    <a:stretch>
                      <a:fillRect/>
                    </a:stretch>
                  </pic:blipFill>
                  <pic:spPr>
                    <a:xfrm>
                      <a:off x="0" y="0"/>
                      <a:ext cx="5239232" cy="3143542"/>
                    </a:xfrm>
                    <a:prstGeom prst="rect">
                      <a:avLst/>
                    </a:prstGeom>
                  </pic:spPr>
                </pic:pic>
              </a:graphicData>
            </a:graphic>
          </wp:inline>
        </w:drawing>
      </w:r>
    </w:p>
    <w:p w14:paraId="40690ACF" w14:textId="34ADEDF1" w:rsidR="008E1D78" w:rsidRPr="008E1D78" w:rsidRDefault="004018AD" w:rsidP="00983D9E">
      <w:pPr>
        <w:pStyle w:val="Lgende"/>
        <w:jc w:val="center"/>
      </w:pPr>
      <w:bookmarkStart w:id="65" w:name="_Toc221441352"/>
      <w:r>
        <w:t xml:space="preserve">Figure </w:t>
      </w:r>
      <w:r w:rsidR="006B2AE6">
        <w:fldChar w:fldCharType="begin"/>
      </w:r>
      <w:r w:rsidR="006B2AE6">
        <w:instrText xml:space="preserve"> SEQ Figure \* ARABIC </w:instrText>
      </w:r>
      <w:r w:rsidR="006B2AE6">
        <w:fldChar w:fldCharType="separate"/>
      </w:r>
      <w:r w:rsidR="00B93EA8">
        <w:rPr>
          <w:noProof/>
        </w:rPr>
        <w:t>13</w:t>
      </w:r>
      <w:r w:rsidR="006B2AE6">
        <w:rPr>
          <w:noProof/>
        </w:rPr>
        <w:fldChar w:fldCharType="end"/>
      </w:r>
      <w:r>
        <w:t>: Distribution du temps d'évaluation de l'équilibre</w:t>
      </w:r>
      <w:r w:rsidR="00664A41">
        <w:t xml:space="preserve"> (en nombre de répondants)</w:t>
      </w:r>
      <w:bookmarkEnd w:id="65"/>
    </w:p>
    <w:p w14:paraId="08F244C9" w14:textId="4D23A0E4" w:rsidR="00FA419F" w:rsidRDefault="004018AD" w:rsidP="00FA419F">
      <w:pPr>
        <w:spacing w:line="360" w:lineRule="auto"/>
        <w:jc w:val="both"/>
      </w:pPr>
      <w:r>
        <w:lastRenderedPageBreak/>
        <w:t>Le tableau ci-dessous récapitule la fréquence d’utilisation des principaux tests par les répondants </w:t>
      </w:r>
      <w:r w:rsidR="009D144A">
        <w:t>(tableau 2)</w:t>
      </w:r>
      <w:r w:rsidR="00FA419F">
        <w:t> :</w:t>
      </w:r>
    </w:p>
    <w:tbl>
      <w:tblPr>
        <w:tblStyle w:val="Grilledutableau"/>
        <w:tblpPr w:leftFromText="141" w:rightFromText="141" w:vertAnchor="text" w:tblpY="-70"/>
        <w:tblW w:w="0" w:type="auto"/>
        <w:tblLook w:val="04A0" w:firstRow="1" w:lastRow="0" w:firstColumn="1" w:lastColumn="0" w:noHBand="0" w:noVBand="1"/>
      </w:tblPr>
      <w:tblGrid>
        <w:gridCol w:w="3020"/>
        <w:gridCol w:w="3020"/>
        <w:gridCol w:w="3020"/>
      </w:tblGrid>
      <w:tr w:rsidR="004018AD" w14:paraId="457A4464" w14:textId="77777777" w:rsidTr="004018AD">
        <w:tc>
          <w:tcPr>
            <w:tcW w:w="3020" w:type="dxa"/>
          </w:tcPr>
          <w:p w14:paraId="408372E0" w14:textId="77777777" w:rsidR="004018AD" w:rsidRPr="004018AD" w:rsidRDefault="004018AD" w:rsidP="004018AD">
            <w:pPr>
              <w:spacing w:line="360" w:lineRule="auto"/>
              <w:jc w:val="center"/>
              <w:rPr>
                <w:b/>
                <w:bCs/>
              </w:rPr>
            </w:pPr>
            <w:r w:rsidRPr="004018AD">
              <w:rPr>
                <w:b/>
                <w:bCs/>
                <w:color w:val="EE0000"/>
              </w:rPr>
              <w:t>TEST</w:t>
            </w:r>
          </w:p>
        </w:tc>
        <w:tc>
          <w:tcPr>
            <w:tcW w:w="3020" w:type="dxa"/>
          </w:tcPr>
          <w:p w14:paraId="0DDADE95" w14:textId="77777777" w:rsidR="004018AD" w:rsidRPr="004018AD" w:rsidRDefault="004018AD" w:rsidP="004018AD">
            <w:pPr>
              <w:spacing w:line="360" w:lineRule="auto"/>
              <w:jc w:val="center"/>
              <w:rPr>
                <w:color w:val="EE0000"/>
              </w:rPr>
            </w:pPr>
            <w:r w:rsidRPr="004018AD">
              <w:rPr>
                <w:color w:val="EE0000"/>
              </w:rPr>
              <w:t xml:space="preserve">Utilisation </w:t>
            </w:r>
            <w:r w:rsidRPr="004018AD">
              <w:rPr>
                <w:b/>
                <w:bCs/>
                <w:color w:val="EE0000"/>
              </w:rPr>
              <w:t>systématique</w:t>
            </w:r>
          </w:p>
        </w:tc>
        <w:tc>
          <w:tcPr>
            <w:tcW w:w="3020" w:type="dxa"/>
          </w:tcPr>
          <w:p w14:paraId="2099C07D" w14:textId="544D0A45" w:rsidR="004018AD" w:rsidRPr="004018AD" w:rsidRDefault="004018AD" w:rsidP="004018AD">
            <w:pPr>
              <w:spacing w:line="360" w:lineRule="auto"/>
              <w:jc w:val="center"/>
              <w:rPr>
                <w:color w:val="EE0000"/>
              </w:rPr>
            </w:pPr>
            <w:r w:rsidRPr="004018AD">
              <w:rPr>
                <w:color w:val="EE0000"/>
              </w:rPr>
              <w:t>Ne connait pas le test</w:t>
            </w:r>
          </w:p>
        </w:tc>
      </w:tr>
      <w:tr w:rsidR="004018AD" w14:paraId="06235DED" w14:textId="77777777" w:rsidTr="004018AD">
        <w:tc>
          <w:tcPr>
            <w:tcW w:w="3020" w:type="dxa"/>
            <w:vAlign w:val="center"/>
          </w:tcPr>
          <w:p w14:paraId="7E9E8704" w14:textId="77777777" w:rsidR="004018AD" w:rsidRDefault="004018AD" w:rsidP="004018AD">
            <w:pPr>
              <w:spacing w:line="360" w:lineRule="auto"/>
              <w:jc w:val="center"/>
            </w:pPr>
            <w:r w:rsidRPr="004018AD">
              <w:rPr>
                <w:rFonts w:ascii="Arial" w:eastAsia="Times New Roman" w:hAnsi="Arial" w:cs="Arial"/>
                <w:b/>
                <w:bCs/>
                <w:color w:val="000000"/>
                <w:sz w:val="24"/>
                <w:szCs w:val="24"/>
                <w:lang w:eastAsia="fr-FR"/>
              </w:rPr>
              <w:t>Appui Unipodal</w:t>
            </w:r>
          </w:p>
        </w:tc>
        <w:tc>
          <w:tcPr>
            <w:tcW w:w="3020" w:type="dxa"/>
            <w:vAlign w:val="center"/>
          </w:tcPr>
          <w:p w14:paraId="22AEAABA" w14:textId="77777777" w:rsidR="004018AD" w:rsidRPr="004018AD" w:rsidRDefault="004018AD" w:rsidP="004018AD">
            <w:pPr>
              <w:spacing w:line="360" w:lineRule="auto"/>
              <w:jc w:val="center"/>
              <w:rPr>
                <w:highlight w:val="yellow"/>
              </w:rPr>
            </w:pPr>
            <w:r w:rsidRPr="004018AD">
              <w:rPr>
                <w:rFonts w:ascii="Arial" w:eastAsia="Times New Roman" w:hAnsi="Arial" w:cs="Arial"/>
                <w:b/>
                <w:bCs/>
                <w:color w:val="000000"/>
                <w:sz w:val="24"/>
                <w:szCs w:val="24"/>
                <w:highlight w:val="yellow"/>
                <w:lang w:eastAsia="fr-FR"/>
              </w:rPr>
              <w:t>55,3 %</w:t>
            </w:r>
          </w:p>
        </w:tc>
        <w:tc>
          <w:tcPr>
            <w:tcW w:w="3020" w:type="dxa"/>
            <w:vAlign w:val="center"/>
          </w:tcPr>
          <w:p w14:paraId="21D8683B"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0 %</w:t>
            </w:r>
          </w:p>
        </w:tc>
      </w:tr>
      <w:tr w:rsidR="004018AD" w14:paraId="5182693D" w14:textId="77777777" w:rsidTr="004018AD">
        <w:tc>
          <w:tcPr>
            <w:tcW w:w="3020" w:type="dxa"/>
            <w:vAlign w:val="center"/>
          </w:tcPr>
          <w:p w14:paraId="15D7134F" w14:textId="77777777" w:rsidR="004018AD" w:rsidRDefault="004018AD" w:rsidP="004018AD">
            <w:pPr>
              <w:spacing w:line="360" w:lineRule="auto"/>
              <w:jc w:val="center"/>
            </w:pPr>
            <w:r w:rsidRPr="004018AD">
              <w:rPr>
                <w:rFonts w:ascii="Arial" w:eastAsia="Times New Roman" w:hAnsi="Arial" w:cs="Arial"/>
                <w:b/>
                <w:bCs/>
                <w:color w:val="000000"/>
                <w:sz w:val="24"/>
                <w:szCs w:val="24"/>
                <w:lang w:eastAsia="fr-FR"/>
              </w:rPr>
              <w:t>TUG (</w:t>
            </w:r>
            <w:proofErr w:type="spellStart"/>
            <w:r w:rsidRPr="004018AD">
              <w:rPr>
                <w:rFonts w:ascii="Arial" w:eastAsia="Times New Roman" w:hAnsi="Arial" w:cs="Arial"/>
                <w:b/>
                <w:bCs/>
                <w:color w:val="000000"/>
                <w:sz w:val="24"/>
                <w:szCs w:val="24"/>
                <w:lang w:eastAsia="fr-FR"/>
              </w:rPr>
              <w:t>Timed</w:t>
            </w:r>
            <w:proofErr w:type="spellEnd"/>
            <w:r w:rsidRPr="004018AD">
              <w:rPr>
                <w:rFonts w:ascii="Arial" w:eastAsia="Times New Roman" w:hAnsi="Arial" w:cs="Arial"/>
                <w:b/>
                <w:bCs/>
                <w:color w:val="000000"/>
                <w:sz w:val="24"/>
                <w:szCs w:val="24"/>
                <w:lang w:eastAsia="fr-FR"/>
              </w:rPr>
              <w:t xml:space="preserve"> Up and Go)</w:t>
            </w:r>
          </w:p>
        </w:tc>
        <w:tc>
          <w:tcPr>
            <w:tcW w:w="3020" w:type="dxa"/>
            <w:vAlign w:val="center"/>
          </w:tcPr>
          <w:p w14:paraId="770C78BD"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15,8 %</w:t>
            </w:r>
          </w:p>
        </w:tc>
        <w:tc>
          <w:tcPr>
            <w:tcW w:w="3020" w:type="dxa"/>
            <w:vAlign w:val="center"/>
          </w:tcPr>
          <w:p w14:paraId="3480EFF5"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2,6 %</w:t>
            </w:r>
          </w:p>
        </w:tc>
      </w:tr>
      <w:tr w:rsidR="004018AD" w14:paraId="26304C9C" w14:textId="77777777" w:rsidTr="004018AD">
        <w:tc>
          <w:tcPr>
            <w:tcW w:w="3020" w:type="dxa"/>
            <w:vAlign w:val="center"/>
          </w:tcPr>
          <w:p w14:paraId="130C1DD5" w14:textId="77777777" w:rsidR="004018AD" w:rsidRDefault="004018AD" w:rsidP="004018AD">
            <w:pPr>
              <w:spacing w:line="360" w:lineRule="auto"/>
              <w:jc w:val="center"/>
            </w:pPr>
            <w:r w:rsidRPr="004018AD">
              <w:rPr>
                <w:rFonts w:ascii="Arial" w:eastAsia="Times New Roman" w:hAnsi="Arial" w:cs="Arial"/>
                <w:b/>
                <w:bCs/>
                <w:color w:val="000000"/>
                <w:sz w:val="24"/>
                <w:szCs w:val="24"/>
                <w:lang w:eastAsia="fr-FR"/>
              </w:rPr>
              <w:t>Test de Tinetti</w:t>
            </w:r>
          </w:p>
        </w:tc>
        <w:tc>
          <w:tcPr>
            <w:tcW w:w="3020" w:type="dxa"/>
            <w:vAlign w:val="center"/>
          </w:tcPr>
          <w:p w14:paraId="52E13198"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13,2 %</w:t>
            </w:r>
          </w:p>
        </w:tc>
        <w:tc>
          <w:tcPr>
            <w:tcW w:w="3020" w:type="dxa"/>
            <w:vAlign w:val="center"/>
          </w:tcPr>
          <w:p w14:paraId="24387D6C"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2,6 %</w:t>
            </w:r>
          </w:p>
        </w:tc>
      </w:tr>
      <w:tr w:rsidR="004018AD" w14:paraId="6D8270B6" w14:textId="77777777" w:rsidTr="004018AD">
        <w:tc>
          <w:tcPr>
            <w:tcW w:w="3020" w:type="dxa"/>
            <w:vAlign w:val="center"/>
          </w:tcPr>
          <w:p w14:paraId="25F7D53D" w14:textId="77777777" w:rsidR="004018AD" w:rsidRDefault="004018AD" w:rsidP="004018AD">
            <w:pPr>
              <w:spacing w:line="360" w:lineRule="auto"/>
              <w:jc w:val="center"/>
            </w:pPr>
            <w:r w:rsidRPr="004018AD">
              <w:rPr>
                <w:rFonts w:ascii="Arial" w:eastAsia="Times New Roman" w:hAnsi="Arial" w:cs="Arial"/>
                <w:b/>
                <w:bCs/>
                <w:color w:val="000000"/>
                <w:sz w:val="24"/>
                <w:szCs w:val="24"/>
                <w:lang w:eastAsia="fr-FR"/>
              </w:rPr>
              <w:t>Échelle de Berg</w:t>
            </w:r>
          </w:p>
        </w:tc>
        <w:tc>
          <w:tcPr>
            <w:tcW w:w="3020" w:type="dxa"/>
            <w:vAlign w:val="center"/>
          </w:tcPr>
          <w:p w14:paraId="2FBC5376"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7,9 %</w:t>
            </w:r>
          </w:p>
        </w:tc>
        <w:tc>
          <w:tcPr>
            <w:tcW w:w="3020" w:type="dxa"/>
            <w:vAlign w:val="center"/>
          </w:tcPr>
          <w:p w14:paraId="66DAA896"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18,4 %</w:t>
            </w:r>
          </w:p>
        </w:tc>
      </w:tr>
      <w:tr w:rsidR="004018AD" w14:paraId="32ECB776" w14:textId="77777777" w:rsidTr="004018AD">
        <w:tc>
          <w:tcPr>
            <w:tcW w:w="3020" w:type="dxa"/>
            <w:vAlign w:val="center"/>
          </w:tcPr>
          <w:p w14:paraId="402AD760" w14:textId="702224C8" w:rsidR="004018AD" w:rsidRDefault="004018AD" w:rsidP="004018AD">
            <w:pPr>
              <w:spacing w:line="360" w:lineRule="auto"/>
              <w:jc w:val="center"/>
            </w:pPr>
            <w:proofErr w:type="spellStart"/>
            <w:r w:rsidRPr="004018AD">
              <w:rPr>
                <w:rFonts w:ascii="Arial" w:eastAsia="Times New Roman" w:hAnsi="Arial" w:cs="Arial"/>
                <w:b/>
                <w:bCs/>
                <w:color w:val="000000"/>
                <w:sz w:val="24"/>
                <w:szCs w:val="24"/>
                <w:lang w:eastAsia="fr-FR"/>
              </w:rPr>
              <w:t>BESTest</w:t>
            </w:r>
            <w:proofErr w:type="spellEnd"/>
            <w:r w:rsidRPr="004018AD">
              <w:rPr>
                <w:rFonts w:ascii="Arial" w:eastAsia="Times New Roman" w:hAnsi="Arial" w:cs="Arial"/>
                <w:b/>
                <w:bCs/>
                <w:color w:val="000000"/>
                <w:sz w:val="24"/>
                <w:szCs w:val="24"/>
                <w:lang w:eastAsia="fr-FR"/>
              </w:rPr>
              <w:t xml:space="preserve"> </w:t>
            </w:r>
          </w:p>
        </w:tc>
        <w:tc>
          <w:tcPr>
            <w:tcW w:w="3020" w:type="dxa"/>
            <w:vAlign w:val="center"/>
          </w:tcPr>
          <w:p w14:paraId="46954EDF"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2,6 %</w:t>
            </w:r>
          </w:p>
        </w:tc>
        <w:tc>
          <w:tcPr>
            <w:tcW w:w="3020" w:type="dxa"/>
            <w:vAlign w:val="center"/>
          </w:tcPr>
          <w:p w14:paraId="68FFA869" w14:textId="77777777" w:rsidR="004018AD" w:rsidRPr="004018AD" w:rsidRDefault="004018AD" w:rsidP="004018AD">
            <w:pPr>
              <w:spacing w:line="360" w:lineRule="auto"/>
              <w:jc w:val="center"/>
              <w:rPr>
                <w:highlight w:val="yellow"/>
              </w:rPr>
            </w:pPr>
            <w:r w:rsidRPr="004018AD">
              <w:rPr>
                <w:rFonts w:ascii="Arial" w:eastAsia="Times New Roman" w:hAnsi="Arial" w:cs="Arial"/>
                <w:b/>
                <w:bCs/>
                <w:color w:val="000000"/>
                <w:sz w:val="24"/>
                <w:szCs w:val="24"/>
                <w:highlight w:val="yellow"/>
                <w:lang w:eastAsia="fr-FR"/>
              </w:rPr>
              <w:t>39,5 %</w:t>
            </w:r>
          </w:p>
        </w:tc>
      </w:tr>
      <w:tr w:rsidR="004018AD" w14:paraId="122FB6E5" w14:textId="77777777" w:rsidTr="004018AD">
        <w:tc>
          <w:tcPr>
            <w:tcW w:w="3020" w:type="dxa"/>
            <w:vAlign w:val="center"/>
          </w:tcPr>
          <w:p w14:paraId="3E46F240" w14:textId="77777777" w:rsidR="004018AD" w:rsidRDefault="004018AD" w:rsidP="004018AD">
            <w:pPr>
              <w:spacing w:line="360" w:lineRule="auto"/>
              <w:jc w:val="center"/>
            </w:pPr>
            <w:r w:rsidRPr="004018AD">
              <w:rPr>
                <w:rFonts w:ascii="Arial" w:eastAsia="Times New Roman" w:hAnsi="Arial" w:cs="Arial"/>
                <w:b/>
                <w:bCs/>
                <w:color w:val="000000"/>
                <w:sz w:val="24"/>
                <w:szCs w:val="24"/>
                <w:lang w:eastAsia="fr-FR"/>
              </w:rPr>
              <w:t>Mini-</w:t>
            </w:r>
            <w:proofErr w:type="spellStart"/>
            <w:r w:rsidRPr="004018AD">
              <w:rPr>
                <w:rFonts w:ascii="Arial" w:eastAsia="Times New Roman" w:hAnsi="Arial" w:cs="Arial"/>
                <w:b/>
                <w:bCs/>
                <w:color w:val="000000"/>
                <w:sz w:val="24"/>
                <w:szCs w:val="24"/>
                <w:lang w:eastAsia="fr-FR"/>
              </w:rPr>
              <w:t>BESTest</w:t>
            </w:r>
            <w:proofErr w:type="spellEnd"/>
          </w:p>
        </w:tc>
        <w:tc>
          <w:tcPr>
            <w:tcW w:w="3020" w:type="dxa"/>
            <w:vAlign w:val="center"/>
          </w:tcPr>
          <w:p w14:paraId="42C8468F"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5,3 %</w:t>
            </w:r>
          </w:p>
        </w:tc>
        <w:tc>
          <w:tcPr>
            <w:tcW w:w="3020" w:type="dxa"/>
            <w:vAlign w:val="center"/>
          </w:tcPr>
          <w:p w14:paraId="1847B677" w14:textId="77777777" w:rsidR="004018AD" w:rsidRPr="004018AD" w:rsidRDefault="004018AD" w:rsidP="004018AD">
            <w:pPr>
              <w:spacing w:line="360" w:lineRule="auto"/>
              <w:jc w:val="center"/>
              <w:rPr>
                <w:highlight w:val="yellow"/>
              </w:rPr>
            </w:pPr>
            <w:r w:rsidRPr="004018AD">
              <w:rPr>
                <w:rFonts w:ascii="Arial" w:eastAsia="Times New Roman" w:hAnsi="Arial" w:cs="Arial"/>
                <w:b/>
                <w:bCs/>
                <w:color w:val="000000"/>
                <w:sz w:val="24"/>
                <w:szCs w:val="24"/>
                <w:highlight w:val="yellow"/>
                <w:lang w:eastAsia="fr-FR"/>
              </w:rPr>
              <w:t>42,1 %</w:t>
            </w:r>
          </w:p>
        </w:tc>
      </w:tr>
      <w:tr w:rsidR="004018AD" w14:paraId="6623F32B" w14:textId="77777777" w:rsidTr="004018AD">
        <w:tc>
          <w:tcPr>
            <w:tcW w:w="3020" w:type="dxa"/>
            <w:vAlign w:val="center"/>
          </w:tcPr>
          <w:p w14:paraId="4B88237E" w14:textId="77777777" w:rsidR="004018AD" w:rsidRDefault="004018AD" w:rsidP="004018AD">
            <w:pPr>
              <w:spacing w:line="360" w:lineRule="auto"/>
              <w:jc w:val="center"/>
            </w:pPr>
            <w:r w:rsidRPr="004018AD">
              <w:rPr>
                <w:rFonts w:ascii="Arial" w:eastAsia="Times New Roman" w:hAnsi="Arial" w:cs="Arial"/>
                <w:b/>
                <w:bCs/>
                <w:color w:val="000000"/>
                <w:sz w:val="24"/>
                <w:szCs w:val="24"/>
                <w:lang w:eastAsia="fr-FR"/>
              </w:rPr>
              <w:t>SPPB</w:t>
            </w:r>
          </w:p>
        </w:tc>
        <w:tc>
          <w:tcPr>
            <w:tcW w:w="3020" w:type="dxa"/>
            <w:vAlign w:val="center"/>
          </w:tcPr>
          <w:p w14:paraId="40C66A5F" w14:textId="77777777" w:rsidR="004018AD" w:rsidRDefault="004018AD" w:rsidP="004018AD">
            <w:pPr>
              <w:spacing w:line="360" w:lineRule="auto"/>
              <w:jc w:val="center"/>
            </w:pPr>
            <w:r w:rsidRPr="004018AD">
              <w:rPr>
                <w:rFonts w:ascii="Arial" w:eastAsia="Times New Roman" w:hAnsi="Arial" w:cs="Arial"/>
                <w:color w:val="000000"/>
                <w:sz w:val="24"/>
                <w:szCs w:val="24"/>
                <w:lang w:eastAsia="fr-FR"/>
              </w:rPr>
              <w:t>2,6 %</w:t>
            </w:r>
          </w:p>
        </w:tc>
        <w:tc>
          <w:tcPr>
            <w:tcW w:w="3020" w:type="dxa"/>
            <w:vAlign w:val="center"/>
          </w:tcPr>
          <w:p w14:paraId="16EB90F0" w14:textId="77777777" w:rsidR="004018AD" w:rsidRPr="004018AD" w:rsidRDefault="004018AD" w:rsidP="004018AD">
            <w:pPr>
              <w:spacing w:line="360" w:lineRule="auto"/>
              <w:jc w:val="center"/>
              <w:rPr>
                <w:highlight w:val="yellow"/>
              </w:rPr>
            </w:pPr>
            <w:r w:rsidRPr="004018AD">
              <w:rPr>
                <w:rFonts w:ascii="Arial" w:eastAsia="Times New Roman" w:hAnsi="Arial" w:cs="Arial"/>
                <w:b/>
                <w:bCs/>
                <w:color w:val="000000"/>
                <w:sz w:val="24"/>
                <w:szCs w:val="24"/>
                <w:highlight w:val="yellow"/>
                <w:lang w:eastAsia="fr-FR"/>
              </w:rPr>
              <w:t>44,7 %</w:t>
            </w:r>
          </w:p>
        </w:tc>
      </w:tr>
    </w:tbl>
    <w:p w14:paraId="5C88918F" w14:textId="77777777" w:rsidR="004018AD" w:rsidRDefault="004018AD" w:rsidP="004018AD">
      <w:pPr>
        <w:pStyle w:val="Lgende"/>
        <w:keepNext/>
        <w:jc w:val="center"/>
      </w:pPr>
    </w:p>
    <w:p w14:paraId="2BCF78E5" w14:textId="5F550AA0" w:rsidR="004018AD" w:rsidRDefault="004018AD" w:rsidP="004018AD">
      <w:pPr>
        <w:pStyle w:val="Lgende"/>
        <w:keepNext/>
        <w:jc w:val="center"/>
      </w:pPr>
      <w:bookmarkStart w:id="66" w:name="_Toc221441183"/>
      <w:r>
        <w:t xml:space="preserve">Tableau </w:t>
      </w:r>
      <w:r>
        <w:fldChar w:fldCharType="begin"/>
      </w:r>
      <w:r>
        <w:instrText xml:space="preserve"> SEQ Tableau \* ARABIC </w:instrText>
      </w:r>
      <w:r>
        <w:fldChar w:fldCharType="separate"/>
      </w:r>
      <w:r w:rsidR="00B93EA8">
        <w:rPr>
          <w:noProof/>
        </w:rPr>
        <w:t>2</w:t>
      </w:r>
      <w:r>
        <w:rPr>
          <w:noProof/>
        </w:rPr>
        <w:fldChar w:fldCharType="end"/>
      </w:r>
      <w:r>
        <w:t>: Fréquence d'utilisation des tests par les répondants</w:t>
      </w:r>
      <w:bookmarkEnd w:id="66"/>
    </w:p>
    <w:p w14:paraId="584892DD" w14:textId="77777777" w:rsidR="004018AD" w:rsidRPr="004018AD" w:rsidRDefault="004018AD" w:rsidP="004018AD">
      <w:pPr>
        <w:spacing w:line="360" w:lineRule="auto"/>
        <w:jc w:val="center"/>
      </w:pPr>
    </w:p>
    <w:p w14:paraId="6D591D74" w14:textId="3B06C1D6" w:rsidR="004018AD" w:rsidRDefault="00126CF1" w:rsidP="00FA419F">
      <w:pPr>
        <w:spacing w:line="360" w:lineRule="auto"/>
        <w:jc w:val="both"/>
      </w:pPr>
      <w:r>
        <w:tab/>
      </w:r>
      <w:r w:rsidR="003B7C07">
        <w:t>Ce</w:t>
      </w:r>
      <w:r w:rsidR="009D144A">
        <w:t>t histogramme</w:t>
      </w:r>
      <w:r w:rsidR="003B7C07">
        <w:t xml:space="preserve"> fait un état des lieux de la pratique clinique des kinésithérapeutes interrogés en exploitant les données sur le test le plus utilisé</w:t>
      </w:r>
      <w:r w:rsidR="009D144A">
        <w:t xml:space="preserve"> (figure 14)</w:t>
      </w:r>
      <w:r w:rsidR="003B7C07">
        <w:t>.</w:t>
      </w:r>
      <w:r w:rsidR="00596423">
        <w:t xml:space="preserve"> </w:t>
      </w:r>
    </w:p>
    <w:p w14:paraId="3E8036F7" w14:textId="77777777" w:rsidR="00596423" w:rsidRDefault="00596423" w:rsidP="00596423">
      <w:pPr>
        <w:keepNext/>
        <w:jc w:val="center"/>
      </w:pPr>
      <w:r>
        <w:rPr>
          <w:noProof/>
        </w:rPr>
        <w:drawing>
          <wp:inline distT="0" distB="0" distL="0" distR="0" wp14:anchorId="184CB186" wp14:editId="4C728EE3">
            <wp:extent cx="5581786" cy="3721396"/>
            <wp:effectExtent l="0" t="0" r="0" b="0"/>
            <wp:docPr id="1547600188" name="Image 6" descr="Une image contenant texte, capture d’écran,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00188" name="Image 6" descr="Une image contenant texte, capture d’écran, diagramme, Tracé&#10;&#10;Le contenu généré par l’IA peut êtr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4937" cy="3823502"/>
                    </a:xfrm>
                    <a:prstGeom prst="rect">
                      <a:avLst/>
                    </a:prstGeom>
                  </pic:spPr>
                </pic:pic>
              </a:graphicData>
            </a:graphic>
          </wp:inline>
        </w:drawing>
      </w:r>
    </w:p>
    <w:p w14:paraId="16A75419" w14:textId="3E11E11C" w:rsidR="00596423" w:rsidRDefault="00596423" w:rsidP="00596423">
      <w:pPr>
        <w:pStyle w:val="Lgende"/>
        <w:jc w:val="center"/>
      </w:pPr>
      <w:bookmarkStart w:id="67" w:name="_Toc221441353"/>
      <w:r>
        <w:t xml:space="preserve">Figure </w:t>
      </w:r>
      <w:r w:rsidR="006B2AE6">
        <w:fldChar w:fldCharType="begin"/>
      </w:r>
      <w:r w:rsidR="006B2AE6">
        <w:instrText xml:space="preserve"> SEQ Figure \* ARABIC </w:instrText>
      </w:r>
      <w:r w:rsidR="006B2AE6">
        <w:fldChar w:fldCharType="separate"/>
      </w:r>
      <w:r w:rsidR="00B93EA8">
        <w:rPr>
          <w:noProof/>
        </w:rPr>
        <w:t>14</w:t>
      </w:r>
      <w:r w:rsidR="006B2AE6">
        <w:rPr>
          <w:noProof/>
        </w:rPr>
        <w:fldChar w:fldCharType="end"/>
      </w:r>
      <w:r>
        <w:t>: Répartition du test le plus utilisé</w:t>
      </w:r>
      <w:r w:rsidR="00664A41">
        <w:t xml:space="preserve"> (en nombre de professionnels)</w:t>
      </w:r>
      <w:bookmarkEnd w:id="67"/>
    </w:p>
    <w:p w14:paraId="3DD59F5E" w14:textId="77777777" w:rsidR="003B7C07" w:rsidRPr="003B7C07" w:rsidRDefault="003B7C07" w:rsidP="003B7C07"/>
    <w:p w14:paraId="30046F33" w14:textId="77777777" w:rsidR="008E1D78" w:rsidRDefault="008E1D78" w:rsidP="00126CF1">
      <w:pPr>
        <w:spacing w:line="360" w:lineRule="auto"/>
        <w:jc w:val="both"/>
      </w:pPr>
    </w:p>
    <w:p w14:paraId="446A9566" w14:textId="0FB0173C" w:rsidR="00DE49EB" w:rsidRDefault="003B7C07" w:rsidP="00126CF1">
      <w:pPr>
        <w:spacing w:line="360" w:lineRule="auto"/>
        <w:jc w:val="both"/>
      </w:pPr>
      <w:r>
        <w:lastRenderedPageBreak/>
        <w:t xml:space="preserve">Les facteurs influençant les choix des praticiens sont résumés sur cette </w:t>
      </w:r>
      <w:r w:rsidR="00664A41">
        <w:t>histogramme</w:t>
      </w:r>
      <w:r w:rsidR="009D144A">
        <w:t xml:space="preserve"> (figure 15)</w:t>
      </w:r>
      <w:r>
        <w:t>.</w:t>
      </w:r>
      <w:r w:rsidR="00126CF1">
        <w:t xml:space="preserve"> </w:t>
      </w:r>
    </w:p>
    <w:p w14:paraId="581A275E" w14:textId="77777777" w:rsidR="00126CF1" w:rsidRDefault="00126CF1" w:rsidP="00126CF1">
      <w:pPr>
        <w:keepNext/>
        <w:jc w:val="center"/>
      </w:pPr>
      <w:r>
        <w:rPr>
          <w:noProof/>
        </w:rPr>
        <w:drawing>
          <wp:inline distT="0" distB="0" distL="0" distR="0" wp14:anchorId="0F84C26B" wp14:editId="3C79AB17">
            <wp:extent cx="6306029" cy="4204252"/>
            <wp:effectExtent l="0" t="0" r="0" b="0"/>
            <wp:docPr id="1557322676" name="Image 7" descr="Une image contenant capture d’écran, texte, Caractère coloré,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22676" name="Image 7" descr="Une image contenant capture d’écran, texte, Caractère coloré, ligne&#10;&#10;Le contenu généré par l’IA peut êtr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75077" cy="4316957"/>
                    </a:xfrm>
                    <a:prstGeom prst="rect">
                      <a:avLst/>
                    </a:prstGeom>
                  </pic:spPr>
                </pic:pic>
              </a:graphicData>
            </a:graphic>
          </wp:inline>
        </w:drawing>
      </w:r>
    </w:p>
    <w:p w14:paraId="384A13EB" w14:textId="4AA554A5" w:rsidR="00126CF1" w:rsidRDefault="00126CF1" w:rsidP="00126CF1">
      <w:pPr>
        <w:pStyle w:val="Lgende"/>
        <w:jc w:val="center"/>
      </w:pPr>
      <w:bookmarkStart w:id="68" w:name="_Toc221441354"/>
      <w:r>
        <w:t xml:space="preserve">Figure </w:t>
      </w:r>
      <w:r w:rsidR="006B2AE6">
        <w:fldChar w:fldCharType="begin"/>
      </w:r>
      <w:r w:rsidR="006B2AE6">
        <w:instrText xml:space="preserve"> SEQ Figure \* ARABIC </w:instrText>
      </w:r>
      <w:r w:rsidR="006B2AE6">
        <w:fldChar w:fldCharType="separate"/>
      </w:r>
      <w:r w:rsidR="00B93EA8">
        <w:rPr>
          <w:noProof/>
        </w:rPr>
        <w:t>15</w:t>
      </w:r>
      <w:r w:rsidR="006B2AE6">
        <w:rPr>
          <w:noProof/>
        </w:rPr>
        <w:fldChar w:fldCharType="end"/>
      </w:r>
      <w:r>
        <w:t>: Les raisons du choix des différents tests</w:t>
      </w:r>
      <w:r w:rsidR="00664A41">
        <w:t xml:space="preserve"> (en nombre de participants)</w:t>
      </w:r>
      <w:bookmarkEnd w:id="68"/>
    </w:p>
    <w:p w14:paraId="7AE6C3FC" w14:textId="77777777" w:rsidR="00126CF1" w:rsidRDefault="00126CF1" w:rsidP="00126CF1"/>
    <w:p w14:paraId="6C7B039E" w14:textId="77777777" w:rsidR="00FA419F" w:rsidRDefault="00126CF1" w:rsidP="00126CF1">
      <w:pPr>
        <w:jc w:val="both"/>
      </w:pPr>
      <w:r>
        <w:tab/>
      </w:r>
    </w:p>
    <w:p w14:paraId="205C22E0" w14:textId="77777777" w:rsidR="00FA419F" w:rsidRDefault="00FA419F" w:rsidP="00126CF1">
      <w:pPr>
        <w:jc w:val="both"/>
      </w:pPr>
    </w:p>
    <w:p w14:paraId="25FD71ED" w14:textId="77777777" w:rsidR="00FA419F" w:rsidRDefault="00FA419F" w:rsidP="00126CF1">
      <w:pPr>
        <w:jc w:val="both"/>
      </w:pPr>
    </w:p>
    <w:p w14:paraId="687FB06B" w14:textId="77777777" w:rsidR="00FA419F" w:rsidRDefault="00FA419F" w:rsidP="00126CF1">
      <w:pPr>
        <w:jc w:val="both"/>
      </w:pPr>
    </w:p>
    <w:p w14:paraId="62E15991" w14:textId="77777777" w:rsidR="00FA419F" w:rsidRDefault="00FA419F" w:rsidP="00126CF1">
      <w:pPr>
        <w:jc w:val="both"/>
      </w:pPr>
    </w:p>
    <w:p w14:paraId="04A1F838" w14:textId="77777777" w:rsidR="00FA419F" w:rsidRDefault="00FA419F" w:rsidP="00126CF1">
      <w:pPr>
        <w:jc w:val="both"/>
      </w:pPr>
    </w:p>
    <w:p w14:paraId="5301D745" w14:textId="77777777" w:rsidR="00FA419F" w:rsidRDefault="00FA419F" w:rsidP="00126CF1">
      <w:pPr>
        <w:jc w:val="both"/>
      </w:pPr>
    </w:p>
    <w:p w14:paraId="566A039F" w14:textId="77777777" w:rsidR="00FA419F" w:rsidRDefault="00FA419F" w:rsidP="00126CF1">
      <w:pPr>
        <w:jc w:val="both"/>
      </w:pPr>
    </w:p>
    <w:p w14:paraId="4701F24D" w14:textId="77777777" w:rsidR="00FA419F" w:rsidRDefault="00FA419F" w:rsidP="00126CF1">
      <w:pPr>
        <w:jc w:val="both"/>
      </w:pPr>
    </w:p>
    <w:p w14:paraId="51D3A040" w14:textId="77777777" w:rsidR="00FA419F" w:rsidRDefault="00FA419F" w:rsidP="00126CF1">
      <w:pPr>
        <w:jc w:val="both"/>
      </w:pPr>
    </w:p>
    <w:p w14:paraId="21B38323" w14:textId="77777777" w:rsidR="00FA419F" w:rsidRDefault="00FA419F" w:rsidP="00126CF1">
      <w:pPr>
        <w:jc w:val="both"/>
      </w:pPr>
    </w:p>
    <w:p w14:paraId="55562CA9" w14:textId="77777777" w:rsidR="00FA419F" w:rsidRDefault="00FA419F" w:rsidP="00126CF1">
      <w:pPr>
        <w:jc w:val="both"/>
      </w:pPr>
    </w:p>
    <w:p w14:paraId="0C4B5C05" w14:textId="77777777" w:rsidR="00983D9E" w:rsidRDefault="00983D9E" w:rsidP="00FA419F">
      <w:pPr>
        <w:spacing w:line="360" w:lineRule="auto"/>
        <w:jc w:val="both"/>
      </w:pPr>
    </w:p>
    <w:p w14:paraId="7839B5DB" w14:textId="3A488CB9" w:rsidR="00126CF1" w:rsidRDefault="00FA419F" w:rsidP="00FA419F">
      <w:pPr>
        <w:spacing w:line="360" w:lineRule="auto"/>
        <w:jc w:val="both"/>
      </w:pPr>
      <w:r>
        <w:lastRenderedPageBreak/>
        <w:t>Les deux diagrammes suivants</w:t>
      </w:r>
      <w:r w:rsidR="00A77212">
        <w:t xml:space="preserve"> s’intéressent aux connaissances des praticiens concernant le modèle défini par </w:t>
      </w:r>
      <w:proofErr w:type="spellStart"/>
      <w:r w:rsidR="00A77212">
        <w:t>Horak</w:t>
      </w:r>
      <w:proofErr w:type="spellEnd"/>
      <w:r w:rsidR="00A77212">
        <w:t xml:space="preserve"> et à la fréquence d’évaluation de ces 9 composantes</w:t>
      </w:r>
      <w:r w:rsidR="009D144A">
        <w:t xml:space="preserve"> (figure 16 et 17)</w:t>
      </w:r>
      <w:r w:rsidR="00A77212">
        <w:t>.</w:t>
      </w:r>
    </w:p>
    <w:p w14:paraId="65149F64" w14:textId="77777777" w:rsidR="00126CF1" w:rsidRDefault="00126CF1" w:rsidP="00126CF1">
      <w:pPr>
        <w:keepNext/>
        <w:jc w:val="center"/>
      </w:pPr>
      <w:r>
        <w:br/>
      </w:r>
      <w:r>
        <w:rPr>
          <w:noProof/>
        </w:rPr>
        <w:drawing>
          <wp:inline distT="0" distB="0" distL="0" distR="0" wp14:anchorId="144DA890" wp14:editId="39D94A8D">
            <wp:extent cx="4771402" cy="2862841"/>
            <wp:effectExtent l="0" t="0" r="3810" b="0"/>
            <wp:docPr id="1745992570" name="Image 8" descr="Une image contenant texte, capture d’écran, diagramme,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92570" name="Image 8" descr="Une image contenant texte, capture d’écran, diagramme, cercle&#10;&#10;Le contenu généré par l’IA peut êtr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910536" cy="2946322"/>
                    </a:xfrm>
                    <a:prstGeom prst="rect">
                      <a:avLst/>
                    </a:prstGeom>
                  </pic:spPr>
                </pic:pic>
              </a:graphicData>
            </a:graphic>
          </wp:inline>
        </w:drawing>
      </w:r>
    </w:p>
    <w:p w14:paraId="5E343A9F" w14:textId="1F2E88F6" w:rsidR="00126CF1" w:rsidRPr="00126CF1" w:rsidRDefault="00126CF1" w:rsidP="00126CF1">
      <w:pPr>
        <w:pStyle w:val="Lgende"/>
        <w:jc w:val="center"/>
      </w:pPr>
      <w:bookmarkStart w:id="69" w:name="_Toc221441355"/>
      <w:r>
        <w:t xml:space="preserve">Figure </w:t>
      </w:r>
      <w:r w:rsidR="006B2AE6">
        <w:fldChar w:fldCharType="begin"/>
      </w:r>
      <w:r w:rsidR="006B2AE6">
        <w:instrText xml:space="preserve"> SEQ Figure \* ARABIC </w:instrText>
      </w:r>
      <w:r w:rsidR="006B2AE6">
        <w:fldChar w:fldCharType="separate"/>
      </w:r>
      <w:r w:rsidR="00B93EA8">
        <w:rPr>
          <w:noProof/>
        </w:rPr>
        <w:t>16</w:t>
      </w:r>
      <w:r w:rsidR="006B2AE6">
        <w:rPr>
          <w:noProof/>
        </w:rPr>
        <w:fldChar w:fldCharType="end"/>
      </w:r>
      <w:r>
        <w:t xml:space="preserve">: Connaissance du modèle de </w:t>
      </w:r>
      <w:proofErr w:type="spellStart"/>
      <w:r>
        <w:t>Horak</w:t>
      </w:r>
      <w:proofErr w:type="spellEnd"/>
      <w:r>
        <w:t xml:space="preserve"> par les participants</w:t>
      </w:r>
      <w:r w:rsidR="00664A41">
        <w:t xml:space="preserve"> (pourcentage de répondants)</w:t>
      </w:r>
      <w:bookmarkEnd w:id="69"/>
    </w:p>
    <w:p w14:paraId="6BE4B576" w14:textId="5E23150F" w:rsidR="00126CF1" w:rsidRDefault="00126CF1" w:rsidP="00126CF1">
      <w:pPr>
        <w:jc w:val="both"/>
      </w:pPr>
      <w:r>
        <w:t xml:space="preserve">. </w:t>
      </w:r>
    </w:p>
    <w:p w14:paraId="133708C9" w14:textId="77777777" w:rsidR="006504F6" w:rsidRDefault="00126CF1" w:rsidP="006504F6">
      <w:pPr>
        <w:keepNext/>
        <w:jc w:val="center"/>
      </w:pPr>
      <w:r>
        <w:rPr>
          <w:noProof/>
        </w:rPr>
        <w:drawing>
          <wp:inline distT="0" distB="0" distL="0" distR="0" wp14:anchorId="5E313C9C" wp14:editId="35778395">
            <wp:extent cx="5460999" cy="3276600"/>
            <wp:effectExtent l="0" t="0" r="635" b="0"/>
            <wp:docPr id="1929088658" name="Image 9" descr="Une image contenant texte, diagramme, capture d’écran,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088658" name="Image 9" descr="Une image contenant texte, diagramme, capture d’écran, cercle&#10;&#10;Le contenu généré par l’IA peut êtr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97011" cy="3418207"/>
                    </a:xfrm>
                    <a:prstGeom prst="rect">
                      <a:avLst/>
                    </a:prstGeom>
                  </pic:spPr>
                </pic:pic>
              </a:graphicData>
            </a:graphic>
          </wp:inline>
        </w:drawing>
      </w:r>
    </w:p>
    <w:p w14:paraId="2037922B" w14:textId="3071DF72" w:rsidR="00664A41" w:rsidRPr="00126CF1" w:rsidRDefault="006504F6" w:rsidP="00664A41">
      <w:pPr>
        <w:pStyle w:val="Lgende"/>
        <w:jc w:val="center"/>
      </w:pPr>
      <w:bookmarkStart w:id="70" w:name="_Toc221441356"/>
      <w:r>
        <w:t xml:space="preserve">Figure </w:t>
      </w:r>
      <w:r w:rsidR="006B2AE6">
        <w:fldChar w:fldCharType="begin"/>
      </w:r>
      <w:r w:rsidR="006B2AE6">
        <w:instrText xml:space="preserve"> SEQ Figure \* ARABIC </w:instrText>
      </w:r>
      <w:r w:rsidR="006B2AE6">
        <w:fldChar w:fldCharType="separate"/>
      </w:r>
      <w:r w:rsidR="00B93EA8">
        <w:rPr>
          <w:noProof/>
        </w:rPr>
        <w:t>17</w:t>
      </w:r>
      <w:r w:rsidR="006B2AE6">
        <w:rPr>
          <w:noProof/>
        </w:rPr>
        <w:fldChar w:fldCharType="end"/>
      </w:r>
      <w:r>
        <w:t>: Fréquence d'évaluation simultanée des 9 sous-composantes de l'équilibre</w:t>
      </w:r>
      <w:r w:rsidR="00664A41">
        <w:t xml:space="preserve"> </w:t>
      </w:r>
      <w:r w:rsidR="00664A41">
        <w:t>(pourcentage de répondants)</w:t>
      </w:r>
      <w:bookmarkEnd w:id="70"/>
    </w:p>
    <w:p w14:paraId="565C6391" w14:textId="0EEF44AE" w:rsidR="006504F6" w:rsidRDefault="006504F6" w:rsidP="006504F6">
      <w:pPr>
        <w:pStyle w:val="Lgende"/>
        <w:jc w:val="center"/>
      </w:pPr>
    </w:p>
    <w:p w14:paraId="792D9A87" w14:textId="77777777" w:rsidR="006504F6" w:rsidRDefault="006504F6" w:rsidP="006504F6"/>
    <w:p w14:paraId="19792680" w14:textId="3C1D10B8" w:rsidR="006504F6" w:rsidRDefault="00983D9E" w:rsidP="00FA419F">
      <w:pPr>
        <w:spacing w:line="360" w:lineRule="auto"/>
        <w:jc w:val="both"/>
      </w:pPr>
      <w:r>
        <w:lastRenderedPageBreak/>
        <w:tab/>
      </w:r>
      <w:r w:rsidR="00A77212">
        <w:t xml:space="preserve">Les facteurs limitant l’élaboration d’une évaluation exhaustive de l’équilibre sont </w:t>
      </w:r>
      <w:r w:rsidR="008E1D78">
        <w:t>rapportés</w:t>
      </w:r>
      <w:r w:rsidR="00A77212">
        <w:t xml:space="preserve"> sur cette figure</w:t>
      </w:r>
      <w:r w:rsidR="00664A41">
        <w:t xml:space="preserve"> (Figure 18)</w:t>
      </w:r>
      <w:r w:rsidR="00A77212">
        <w:t>.</w:t>
      </w:r>
    </w:p>
    <w:p w14:paraId="62BF78DA" w14:textId="77777777" w:rsidR="006504F6" w:rsidRDefault="006504F6" w:rsidP="006504F6">
      <w:pPr>
        <w:keepNext/>
        <w:jc w:val="center"/>
      </w:pPr>
      <w:r>
        <w:rPr>
          <w:noProof/>
        </w:rPr>
        <w:drawing>
          <wp:inline distT="0" distB="0" distL="0" distR="0" wp14:anchorId="1750D5F7" wp14:editId="38DFCBFE">
            <wp:extent cx="5606147" cy="3363686"/>
            <wp:effectExtent l="0" t="0" r="0" b="1905"/>
            <wp:docPr id="2015186535" name="Image 10" descr="Une image contenant texte, capture d’écran, lign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86535" name="Image 10" descr="Une image contenant texte, capture d’écran, ligne, nombre&#10;&#10;Le contenu généré par l’IA peut êtr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72629" cy="3463575"/>
                    </a:xfrm>
                    <a:prstGeom prst="rect">
                      <a:avLst/>
                    </a:prstGeom>
                  </pic:spPr>
                </pic:pic>
              </a:graphicData>
            </a:graphic>
          </wp:inline>
        </w:drawing>
      </w:r>
    </w:p>
    <w:p w14:paraId="621DC0FB" w14:textId="153EA0B8" w:rsidR="00664A41" w:rsidRPr="00126CF1" w:rsidRDefault="006504F6" w:rsidP="00664A41">
      <w:pPr>
        <w:pStyle w:val="Lgende"/>
        <w:jc w:val="center"/>
      </w:pPr>
      <w:bookmarkStart w:id="71" w:name="_Toc221441357"/>
      <w:r>
        <w:t xml:space="preserve">Figure </w:t>
      </w:r>
      <w:r w:rsidR="006B2AE6">
        <w:fldChar w:fldCharType="begin"/>
      </w:r>
      <w:r w:rsidR="006B2AE6">
        <w:instrText xml:space="preserve"> SEQ Figure \* ARABIC </w:instrText>
      </w:r>
      <w:r w:rsidR="006B2AE6">
        <w:fldChar w:fldCharType="separate"/>
      </w:r>
      <w:r w:rsidR="00B93EA8">
        <w:rPr>
          <w:noProof/>
        </w:rPr>
        <w:t>18</w:t>
      </w:r>
      <w:r w:rsidR="006B2AE6">
        <w:rPr>
          <w:noProof/>
        </w:rPr>
        <w:fldChar w:fldCharType="end"/>
      </w:r>
      <w:r>
        <w:t>: Les facteurs limitant l'élaboration d'une évaluation complète</w:t>
      </w:r>
      <w:r w:rsidR="00664A41">
        <w:t xml:space="preserve"> </w:t>
      </w:r>
      <w:r w:rsidR="00664A41">
        <w:t>(pourcentage de répondants)</w:t>
      </w:r>
      <w:bookmarkEnd w:id="71"/>
    </w:p>
    <w:p w14:paraId="55765E7A" w14:textId="2A813D9E" w:rsidR="006504F6" w:rsidRDefault="006504F6" w:rsidP="006504F6">
      <w:pPr>
        <w:pStyle w:val="Lgende"/>
        <w:jc w:val="center"/>
      </w:pPr>
    </w:p>
    <w:p w14:paraId="553144BE" w14:textId="77777777" w:rsidR="00786CDD" w:rsidRDefault="00786CDD" w:rsidP="00786CDD"/>
    <w:p w14:paraId="2BF5CC7A" w14:textId="77777777" w:rsidR="00FA419F" w:rsidRDefault="00786CDD" w:rsidP="00786CDD">
      <w:r>
        <w:tab/>
      </w:r>
    </w:p>
    <w:p w14:paraId="446C180A" w14:textId="77777777" w:rsidR="00FA419F" w:rsidRDefault="00FA419F" w:rsidP="00786CDD"/>
    <w:p w14:paraId="00727180" w14:textId="77777777" w:rsidR="00FA419F" w:rsidRDefault="00FA419F" w:rsidP="00786CDD"/>
    <w:p w14:paraId="59DED9AF" w14:textId="77777777" w:rsidR="00FA419F" w:rsidRDefault="00FA419F" w:rsidP="00786CDD"/>
    <w:p w14:paraId="4336D1B4" w14:textId="77777777" w:rsidR="00FA419F" w:rsidRDefault="00FA419F" w:rsidP="00786CDD"/>
    <w:p w14:paraId="10DCF619" w14:textId="77777777" w:rsidR="00FA419F" w:rsidRDefault="00FA419F" w:rsidP="00786CDD"/>
    <w:p w14:paraId="4B45228F" w14:textId="77777777" w:rsidR="00FA419F" w:rsidRDefault="00FA419F" w:rsidP="00786CDD"/>
    <w:p w14:paraId="0F56AAE0" w14:textId="77777777" w:rsidR="00FA419F" w:rsidRDefault="00FA419F" w:rsidP="00786CDD"/>
    <w:p w14:paraId="37B572F1" w14:textId="77777777" w:rsidR="00FA419F" w:rsidRDefault="00FA419F" w:rsidP="00786CDD"/>
    <w:p w14:paraId="01D9A360" w14:textId="77777777" w:rsidR="00FA419F" w:rsidRDefault="00FA419F" w:rsidP="00786CDD"/>
    <w:p w14:paraId="356ABE85" w14:textId="77777777" w:rsidR="00FA419F" w:rsidRDefault="00FA419F" w:rsidP="00786CDD"/>
    <w:p w14:paraId="53B2725C" w14:textId="77777777" w:rsidR="00FA419F" w:rsidRDefault="00FA419F" w:rsidP="00786CDD"/>
    <w:p w14:paraId="6BBA0F52" w14:textId="77777777" w:rsidR="00FA419F" w:rsidRDefault="00FA419F" w:rsidP="00786CDD"/>
    <w:p w14:paraId="3B242BB3" w14:textId="20A05DEA" w:rsidR="00FA419F" w:rsidRDefault="00FA419F" w:rsidP="00FA419F">
      <w:pPr>
        <w:spacing w:line="360" w:lineRule="auto"/>
        <w:jc w:val="both"/>
      </w:pPr>
      <w:r>
        <w:lastRenderedPageBreak/>
        <w:tab/>
        <w:t>Ce tableau</w:t>
      </w:r>
      <w:r w:rsidR="00A77212">
        <w:t xml:space="preserve"> investigue</w:t>
      </w:r>
      <w:r>
        <w:t xml:space="preserve"> </w:t>
      </w:r>
      <w:r w:rsidR="00A77212">
        <w:t>la formation des cliniciens interrogés et leurs envies concernant une formation complémentaire</w:t>
      </w:r>
      <w:r w:rsidR="00664A41">
        <w:t xml:space="preserve"> (</w:t>
      </w:r>
      <w:r>
        <w:t>tableau 3).</w:t>
      </w:r>
    </w:p>
    <w:tbl>
      <w:tblPr>
        <w:tblW w:w="8974" w:type="dxa"/>
        <w:tblCellMar>
          <w:left w:w="0" w:type="dxa"/>
          <w:right w:w="0" w:type="dxa"/>
        </w:tblCellMar>
        <w:tblLook w:val="04A0" w:firstRow="1" w:lastRow="0" w:firstColumn="1" w:lastColumn="0" w:noHBand="0" w:noVBand="1"/>
      </w:tblPr>
      <w:tblGrid>
        <w:gridCol w:w="4289"/>
        <w:gridCol w:w="3895"/>
        <w:gridCol w:w="790"/>
      </w:tblGrid>
      <w:tr w:rsidR="00FA419F" w:rsidRPr="00FA419F" w14:paraId="393ADA2F"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C21CFA"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Formation spécifique reçue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DE6C7A"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Oui, en formation initiale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F44D00"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32,4 %</w:t>
            </w:r>
          </w:p>
        </w:tc>
      </w:tr>
      <w:tr w:rsidR="00FA419F" w:rsidRPr="00FA419F" w14:paraId="7F6DB3A9"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D1072E"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0D3BD6"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Non, mais souhaiterait en recevoir une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BD6F8F"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highlight w:val="yellow"/>
                <w:lang w:eastAsia="fr-FR"/>
              </w:rPr>
              <w:t>32,4 %</w:t>
            </w:r>
          </w:p>
        </w:tc>
      </w:tr>
      <w:tr w:rsidR="00FA419F" w:rsidRPr="00FA419F" w14:paraId="7A80FC35"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925E32"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346B1F"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Oui, en formation initiale et continue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FE5EA0"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13,5 %</w:t>
            </w:r>
          </w:p>
        </w:tc>
      </w:tr>
      <w:tr w:rsidR="00FA419F" w:rsidRPr="00FA419F" w14:paraId="316BFF6C"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588686"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2D9386"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Oui, en formation continue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817B81"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8,1 %</w:t>
            </w:r>
          </w:p>
        </w:tc>
      </w:tr>
      <w:tr w:rsidR="00FA419F" w:rsidRPr="00FA419F" w14:paraId="7A1E9EE6"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3299F2"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4885E0"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Oui, en auto-formation (congrès, etc.)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449540"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8,1 %</w:t>
            </w:r>
          </w:p>
        </w:tc>
      </w:tr>
      <w:tr w:rsidR="00FA419F" w:rsidRPr="00FA419F" w14:paraId="72271A76"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C2D7EB"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E1F74F"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Non, et cela ne m'intéresse pas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D98098"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5,4 %</w:t>
            </w:r>
          </w:p>
        </w:tc>
      </w:tr>
      <w:tr w:rsidR="00FA419F" w:rsidRPr="00FA419F" w14:paraId="5AA94C79"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2F1980" w14:textId="2AE6249E"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F22E45" w14:textId="5EBDFA05"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E6070C" w14:textId="4E0A2383" w:rsidR="00FA419F" w:rsidRPr="00FA419F" w:rsidRDefault="00FA419F" w:rsidP="00FA419F">
            <w:pPr>
              <w:spacing w:after="0" w:line="240" w:lineRule="auto"/>
              <w:rPr>
                <w:rFonts w:ascii="Arial" w:eastAsia="Times New Roman" w:hAnsi="Arial" w:cs="Arial"/>
                <w:sz w:val="20"/>
                <w:szCs w:val="20"/>
                <w:lang w:eastAsia="fr-FR"/>
              </w:rPr>
            </w:pPr>
          </w:p>
        </w:tc>
      </w:tr>
      <w:tr w:rsidR="00FA419F" w:rsidRPr="00FA419F" w14:paraId="2F1F88EE"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E79433"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Intérêt pour une formation complémentaire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2D44FD"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Oui, plutôt intéressé(e)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BC7D4B"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highlight w:val="yellow"/>
                <w:lang w:eastAsia="fr-FR"/>
              </w:rPr>
              <w:t>51,4 %</w:t>
            </w:r>
          </w:p>
        </w:tc>
      </w:tr>
      <w:tr w:rsidR="00FA419F" w:rsidRPr="00FA419F" w14:paraId="71780033"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D4CE67"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FF2B3E"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Oui, très intéressé(e)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AE3F4"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32,4 %</w:t>
            </w:r>
          </w:p>
        </w:tc>
      </w:tr>
      <w:tr w:rsidR="00FA419F" w:rsidRPr="00FA419F" w14:paraId="02F78880"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AC8869"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9DC91"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Peu intéressé(e)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8F77E7"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10,8 %</w:t>
            </w:r>
          </w:p>
        </w:tc>
      </w:tr>
      <w:tr w:rsidR="00FA419F" w:rsidRPr="00FA419F" w14:paraId="07D14945" w14:textId="77777777" w:rsidTr="00FA419F">
        <w:trPr>
          <w:trHeight w:val="3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3C5716" w14:textId="77777777" w:rsidR="00FA419F" w:rsidRPr="00FA419F" w:rsidRDefault="00FA419F" w:rsidP="00FA419F">
            <w:pPr>
              <w:spacing w:after="0" w:line="240" w:lineRule="auto"/>
              <w:rPr>
                <w:rFonts w:ascii="Arial" w:eastAsia="Times New Roman" w:hAnsi="Arial" w:cs="Arial"/>
                <w:sz w:val="20"/>
                <w:szCs w:val="20"/>
                <w:lang w:eastAsia="fr-FR"/>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E5D6DD"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Pas du tout intéressé(e)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70AE09" w14:textId="77777777" w:rsidR="00FA419F" w:rsidRPr="00FA419F" w:rsidRDefault="00FA419F" w:rsidP="00FA419F">
            <w:pPr>
              <w:spacing w:after="0" w:line="240" w:lineRule="auto"/>
              <w:rPr>
                <w:rFonts w:ascii="Arial" w:eastAsia="Times New Roman" w:hAnsi="Arial" w:cs="Arial"/>
                <w:sz w:val="20"/>
                <w:szCs w:val="20"/>
                <w:lang w:eastAsia="fr-FR"/>
              </w:rPr>
            </w:pPr>
            <w:r w:rsidRPr="00FA419F">
              <w:rPr>
                <w:rFonts w:ascii="Arial" w:eastAsia="Times New Roman" w:hAnsi="Arial" w:cs="Arial"/>
                <w:sz w:val="20"/>
                <w:szCs w:val="20"/>
                <w:lang w:eastAsia="fr-FR"/>
              </w:rPr>
              <w:t>5,4 %</w:t>
            </w:r>
          </w:p>
        </w:tc>
      </w:tr>
    </w:tbl>
    <w:p w14:paraId="211F502A" w14:textId="77777777" w:rsidR="008E1D78" w:rsidRDefault="008E1D78" w:rsidP="006B2AE6"/>
    <w:p w14:paraId="01D1DA5F" w14:textId="3490D352" w:rsidR="00FA419F" w:rsidRDefault="00FA419F" w:rsidP="00FA419F">
      <w:pPr>
        <w:pStyle w:val="Lgende"/>
        <w:keepNext/>
        <w:jc w:val="center"/>
      </w:pPr>
      <w:bookmarkStart w:id="72" w:name="_Toc221441184"/>
      <w:r>
        <w:t xml:space="preserve">Tableau </w:t>
      </w:r>
      <w:r>
        <w:fldChar w:fldCharType="begin"/>
      </w:r>
      <w:r>
        <w:instrText xml:space="preserve"> SEQ Tableau \* ARABIC </w:instrText>
      </w:r>
      <w:r>
        <w:fldChar w:fldCharType="separate"/>
      </w:r>
      <w:r w:rsidR="00B93EA8">
        <w:rPr>
          <w:noProof/>
        </w:rPr>
        <w:t>3</w:t>
      </w:r>
      <w:r>
        <w:fldChar w:fldCharType="end"/>
      </w:r>
      <w:r>
        <w:t>: La formation des cliniciens et leur intérêt pour une formation complémentaire</w:t>
      </w:r>
      <w:bookmarkEnd w:id="72"/>
    </w:p>
    <w:p w14:paraId="1BD940BA" w14:textId="77777777" w:rsidR="008713FA" w:rsidRDefault="008713FA" w:rsidP="009D144A">
      <w:pPr>
        <w:jc w:val="both"/>
      </w:pPr>
    </w:p>
    <w:p w14:paraId="0117FD89" w14:textId="77777777" w:rsidR="008713FA" w:rsidRDefault="008713FA" w:rsidP="009D144A">
      <w:pPr>
        <w:jc w:val="both"/>
      </w:pPr>
    </w:p>
    <w:p w14:paraId="3824E699" w14:textId="77777777" w:rsidR="008713FA" w:rsidRDefault="008713FA" w:rsidP="009D144A">
      <w:pPr>
        <w:jc w:val="both"/>
      </w:pPr>
    </w:p>
    <w:p w14:paraId="312C8BE0" w14:textId="77777777" w:rsidR="008713FA" w:rsidRDefault="008713FA" w:rsidP="009D144A">
      <w:pPr>
        <w:jc w:val="both"/>
      </w:pPr>
    </w:p>
    <w:p w14:paraId="1038AB01" w14:textId="77777777" w:rsidR="008713FA" w:rsidRDefault="008713FA" w:rsidP="009D144A">
      <w:pPr>
        <w:jc w:val="both"/>
      </w:pPr>
    </w:p>
    <w:p w14:paraId="7F0A5EEE" w14:textId="77777777" w:rsidR="008713FA" w:rsidRDefault="008713FA" w:rsidP="009D144A">
      <w:pPr>
        <w:jc w:val="both"/>
      </w:pPr>
    </w:p>
    <w:p w14:paraId="3B71F456" w14:textId="77777777" w:rsidR="008713FA" w:rsidRDefault="008713FA" w:rsidP="009D144A">
      <w:pPr>
        <w:jc w:val="both"/>
      </w:pPr>
    </w:p>
    <w:p w14:paraId="1DE661E2" w14:textId="77777777" w:rsidR="008713FA" w:rsidRDefault="008713FA" w:rsidP="009D144A">
      <w:pPr>
        <w:jc w:val="both"/>
      </w:pPr>
    </w:p>
    <w:p w14:paraId="549CA3B8" w14:textId="77777777" w:rsidR="008713FA" w:rsidRDefault="008713FA" w:rsidP="009D144A">
      <w:pPr>
        <w:jc w:val="both"/>
      </w:pPr>
    </w:p>
    <w:p w14:paraId="2AC0D045" w14:textId="77777777" w:rsidR="008713FA" w:rsidRDefault="008713FA" w:rsidP="009D144A">
      <w:pPr>
        <w:jc w:val="both"/>
      </w:pPr>
    </w:p>
    <w:p w14:paraId="7F02B233" w14:textId="77777777" w:rsidR="008713FA" w:rsidRDefault="008713FA" w:rsidP="009D144A">
      <w:pPr>
        <w:jc w:val="both"/>
      </w:pPr>
    </w:p>
    <w:p w14:paraId="05CD5604" w14:textId="77777777" w:rsidR="008713FA" w:rsidRDefault="008713FA" w:rsidP="009D144A">
      <w:pPr>
        <w:jc w:val="both"/>
      </w:pPr>
    </w:p>
    <w:p w14:paraId="38D88013" w14:textId="77777777" w:rsidR="008713FA" w:rsidRDefault="008713FA" w:rsidP="009D144A">
      <w:pPr>
        <w:jc w:val="both"/>
      </w:pPr>
    </w:p>
    <w:p w14:paraId="3A782F35" w14:textId="77777777" w:rsidR="008713FA" w:rsidRDefault="008713FA" w:rsidP="009D144A">
      <w:pPr>
        <w:jc w:val="both"/>
      </w:pPr>
    </w:p>
    <w:p w14:paraId="3BDE6FBF" w14:textId="77777777" w:rsidR="008713FA" w:rsidRDefault="008713FA" w:rsidP="009D144A">
      <w:pPr>
        <w:jc w:val="both"/>
      </w:pPr>
    </w:p>
    <w:p w14:paraId="11434E74" w14:textId="77777777" w:rsidR="00983D9E" w:rsidRDefault="00983D9E" w:rsidP="009D144A">
      <w:pPr>
        <w:jc w:val="both"/>
      </w:pPr>
    </w:p>
    <w:p w14:paraId="1144A822" w14:textId="421741C7" w:rsidR="008E1D78" w:rsidRDefault="008E1D78" w:rsidP="009D144A">
      <w:pPr>
        <w:jc w:val="both"/>
      </w:pPr>
      <w:r>
        <w:lastRenderedPageBreak/>
        <w:t xml:space="preserve">La </w:t>
      </w:r>
      <w:proofErr w:type="spellStart"/>
      <w:r>
        <w:t>heatmap</w:t>
      </w:r>
      <w:proofErr w:type="spellEnd"/>
      <w:r>
        <w:t xml:space="preserve"> suivante permet de comparer l’intérêt des cliniciens en fonction des </w:t>
      </w:r>
      <w:r w:rsidR="009D144A">
        <w:t>thématiques (</w:t>
      </w:r>
      <w:r w:rsidR="00664A41">
        <w:t>figure</w:t>
      </w:r>
      <w:r w:rsidR="009D144A">
        <w:t xml:space="preserve"> </w:t>
      </w:r>
      <w:r w:rsidR="00FA419F">
        <w:t>19</w:t>
      </w:r>
      <w:r w:rsidR="00664A41">
        <w:t>)</w:t>
      </w:r>
      <w:r>
        <w:t xml:space="preserve">. </w:t>
      </w:r>
    </w:p>
    <w:p w14:paraId="6047FC00" w14:textId="77777777" w:rsidR="008713FA" w:rsidRDefault="006B2AE6" w:rsidP="008713FA">
      <w:pPr>
        <w:pStyle w:val="Lgende"/>
        <w:keepNext/>
        <w:jc w:val="center"/>
      </w:pPr>
      <w:r>
        <w:rPr>
          <w:noProof/>
        </w:rPr>
        <w:drawing>
          <wp:inline distT="0" distB="0" distL="0" distR="0" wp14:anchorId="2C8C9D75" wp14:editId="447DEF44">
            <wp:extent cx="5791771" cy="3861395"/>
            <wp:effectExtent l="0" t="0" r="0" b="0"/>
            <wp:docPr id="757734930" name="Image 13" descr="Une image contenant capture d’écran, Caractère coloré, Rectangl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34930" name="Image 13" descr="Une image contenant capture d’écran, Caractère coloré, Rectangle, diagramme&#10;&#10;Le contenu généré par l’IA peut êtr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5680" cy="3964007"/>
                    </a:xfrm>
                    <a:prstGeom prst="rect">
                      <a:avLst/>
                    </a:prstGeom>
                  </pic:spPr>
                </pic:pic>
              </a:graphicData>
            </a:graphic>
          </wp:inline>
        </w:drawing>
      </w:r>
    </w:p>
    <w:p w14:paraId="16CC77EF" w14:textId="23CD6F1E" w:rsidR="006B2AE6" w:rsidRPr="00FA419F" w:rsidRDefault="008713FA" w:rsidP="008713FA">
      <w:pPr>
        <w:pStyle w:val="Lgende"/>
        <w:jc w:val="center"/>
        <w:rPr>
          <w:rStyle w:val="Sous-titreCar"/>
        </w:rPr>
      </w:pPr>
      <w:bookmarkStart w:id="73" w:name="_Toc221441358"/>
      <w:r>
        <w:t xml:space="preserve">Figure </w:t>
      </w:r>
      <w:r>
        <w:fldChar w:fldCharType="begin"/>
      </w:r>
      <w:r>
        <w:instrText xml:space="preserve"> SEQ Figure \* ARABIC </w:instrText>
      </w:r>
      <w:r>
        <w:fldChar w:fldCharType="separate"/>
      </w:r>
      <w:r w:rsidR="00B93EA8">
        <w:rPr>
          <w:noProof/>
        </w:rPr>
        <w:t>19</w:t>
      </w:r>
      <w:r>
        <w:fldChar w:fldCharType="end"/>
      </w:r>
      <w:r>
        <w:t>: Intérêt par thématiques</w:t>
      </w:r>
      <w:bookmarkEnd w:id="73"/>
    </w:p>
    <w:p w14:paraId="4DE2AFA5" w14:textId="77777777" w:rsidR="00FA419F" w:rsidRDefault="00FA419F" w:rsidP="00DE49EB">
      <w:pPr>
        <w:jc w:val="both"/>
      </w:pPr>
    </w:p>
    <w:p w14:paraId="608C70CE" w14:textId="77777777" w:rsidR="00983D9E" w:rsidRDefault="00983D9E" w:rsidP="00DE49EB">
      <w:pPr>
        <w:jc w:val="both"/>
      </w:pPr>
    </w:p>
    <w:p w14:paraId="068B6CA8" w14:textId="77777777" w:rsidR="00983D9E" w:rsidRDefault="00983D9E" w:rsidP="00DE49EB">
      <w:pPr>
        <w:jc w:val="both"/>
      </w:pPr>
    </w:p>
    <w:p w14:paraId="49EEE83B" w14:textId="77777777" w:rsidR="00983D9E" w:rsidRDefault="00983D9E" w:rsidP="00DE49EB">
      <w:pPr>
        <w:jc w:val="both"/>
      </w:pPr>
    </w:p>
    <w:p w14:paraId="4708FB61" w14:textId="77777777" w:rsidR="00983D9E" w:rsidRDefault="00983D9E" w:rsidP="00DE49EB">
      <w:pPr>
        <w:jc w:val="both"/>
      </w:pPr>
    </w:p>
    <w:p w14:paraId="0F4A8B74" w14:textId="77777777" w:rsidR="00983D9E" w:rsidRDefault="00983D9E" w:rsidP="00DE49EB">
      <w:pPr>
        <w:jc w:val="both"/>
      </w:pPr>
    </w:p>
    <w:p w14:paraId="3461AB72" w14:textId="77777777" w:rsidR="00983D9E" w:rsidRDefault="00983D9E" w:rsidP="00DE49EB">
      <w:pPr>
        <w:jc w:val="both"/>
      </w:pPr>
    </w:p>
    <w:p w14:paraId="54636DE2" w14:textId="77777777" w:rsidR="00983D9E" w:rsidRDefault="00983D9E" w:rsidP="00DE49EB">
      <w:pPr>
        <w:jc w:val="both"/>
      </w:pPr>
    </w:p>
    <w:p w14:paraId="12547657" w14:textId="77777777" w:rsidR="00983D9E" w:rsidRDefault="00983D9E" w:rsidP="00DE49EB">
      <w:pPr>
        <w:jc w:val="both"/>
      </w:pPr>
    </w:p>
    <w:p w14:paraId="69A21ECA" w14:textId="77777777" w:rsidR="00983D9E" w:rsidRDefault="00983D9E" w:rsidP="00DE49EB">
      <w:pPr>
        <w:jc w:val="both"/>
      </w:pPr>
    </w:p>
    <w:p w14:paraId="62486646" w14:textId="77777777" w:rsidR="00983D9E" w:rsidRDefault="00983D9E" w:rsidP="00DE49EB">
      <w:pPr>
        <w:jc w:val="both"/>
      </w:pPr>
    </w:p>
    <w:p w14:paraId="2BEB5BFE" w14:textId="77777777" w:rsidR="00983D9E" w:rsidRDefault="00983D9E" w:rsidP="00DE49EB">
      <w:pPr>
        <w:jc w:val="both"/>
      </w:pPr>
    </w:p>
    <w:p w14:paraId="44455104" w14:textId="77777777" w:rsidR="00983D9E" w:rsidRDefault="00983D9E" w:rsidP="00DE49EB">
      <w:pPr>
        <w:jc w:val="both"/>
      </w:pPr>
    </w:p>
    <w:p w14:paraId="76BEF418" w14:textId="6B61F4F1" w:rsidR="0098697E" w:rsidRPr="009C3212" w:rsidRDefault="00D727DB" w:rsidP="00FA419F">
      <w:pPr>
        <w:pStyle w:val="Titre1"/>
        <w:spacing w:line="360" w:lineRule="auto"/>
        <w:jc w:val="both"/>
      </w:pPr>
      <w:bookmarkStart w:id="74" w:name="_Toc221704638"/>
      <w:r>
        <w:lastRenderedPageBreak/>
        <w:t>Discussion</w:t>
      </w:r>
      <w:bookmarkEnd w:id="74"/>
      <w:r>
        <w:t xml:space="preserve"> </w:t>
      </w:r>
    </w:p>
    <w:p w14:paraId="67C1C154" w14:textId="0F229334" w:rsidR="00F857DB" w:rsidRDefault="0098697E" w:rsidP="00FA419F">
      <w:pPr>
        <w:spacing w:line="360" w:lineRule="auto"/>
        <w:jc w:val="both"/>
      </w:pPr>
      <w:r>
        <w:rPr>
          <w:b/>
          <w:bCs/>
        </w:rPr>
        <w:tab/>
      </w:r>
      <w:r>
        <w:t>L’objectif principal de cette étude était de faire un état des lieux sur la pratique des masseurs-kinésithérapeutes quant à l’évaluation de l’équilibre des personnes âgées.</w:t>
      </w:r>
    </w:p>
    <w:p w14:paraId="22682FD6" w14:textId="5310EEE8" w:rsidR="0098697E" w:rsidRDefault="00F93D52" w:rsidP="00FA419F">
      <w:pPr>
        <w:pStyle w:val="Titre2"/>
        <w:spacing w:line="360" w:lineRule="auto"/>
        <w:jc w:val="both"/>
      </w:pPr>
      <w:bookmarkStart w:id="75" w:name="_Toc221704639"/>
      <w:r>
        <w:t>Analyse des résultats</w:t>
      </w:r>
      <w:bookmarkEnd w:id="75"/>
    </w:p>
    <w:p w14:paraId="5E60757C" w14:textId="1A78D033" w:rsidR="008C100D" w:rsidRPr="008D277B" w:rsidRDefault="008C100D" w:rsidP="00FA419F">
      <w:pPr>
        <w:pStyle w:val="NormalWeb"/>
        <w:spacing w:line="360" w:lineRule="auto"/>
        <w:jc w:val="both"/>
        <w:rPr>
          <w:rFonts w:asciiTheme="minorHAnsi" w:hAnsiTheme="minorHAnsi" w:cstheme="minorHAnsi"/>
          <w:color w:val="000000"/>
          <w:sz w:val="22"/>
          <w:szCs w:val="22"/>
        </w:rPr>
      </w:pPr>
      <w:r w:rsidRPr="008D277B">
        <w:rPr>
          <w:rStyle w:val="citation-466"/>
          <w:rFonts w:asciiTheme="minorHAnsi" w:hAnsiTheme="minorHAnsi" w:cstheme="minorHAnsi"/>
          <w:color w:val="000000"/>
          <w:sz w:val="22"/>
          <w:szCs w:val="22"/>
        </w:rPr>
        <w:t>Cette section présente l'analyse descriptive des données recueillies au cours de l'enquête menée entre septembre et décembre 2025</w:t>
      </w:r>
      <w:r w:rsidRPr="008D277B">
        <w:rPr>
          <w:rFonts w:asciiTheme="minorHAnsi" w:hAnsiTheme="minorHAnsi" w:cstheme="minorHAnsi"/>
          <w:color w:val="000000"/>
          <w:sz w:val="22"/>
          <w:szCs w:val="22"/>
        </w:rPr>
        <w:t>.</w:t>
      </w:r>
      <w:r w:rsidR="00A77212">
        <w:rPr>
          <w:rStyle w:val="apple-converted-space"/>
          <w:rFonts w:asciiTheme="minorHAnsi" w:hAnsiTheme="minorHAnsi" w:cstheme="minorHAnsi"/>
          <w:color w:val="000000"/>
          <w:sz w:val="22"/>
          <w:szCs w:val="22"/>
        </w:rPr>
        <w:t xml:space="preserve"> </w:t>
      </w:r>
      <w:r w:rsidRPr="008D277B">
        <w:rPr>
          <w:rStyle w:val="citation-465"/>
          <w:rFonts w:asciiTheme="minorHAnsi" w:hAnsiTheme="minorHAnsi" w:cstheme="minorHAnsi"/>
          <w:color w:val="000000"/>
          <w:sz w:val="22"/>
          <w:szCs w:val="22"/>
        </w:rPr>
        <w:t xml:space="preserve">Après traitement et exclusion des réponses non conformes, l'échantillon final se compose de 37 masseurs-kinésithérapeutes diplômés </w:t>
      </w:r>
      <w:r w:rsidR="008D277B" w:rsidRPr="008D277B">
        <w:rPr>
          <w:rStyle w:val="citation-465"/>
          <w:rFonts w:asciiTheme="minorHAnsi" w:hAnsiTheme="minorHAnsi" w:cstheme="minorHAnsi"/>
          <w:color w:val="000000"/>
          <w:sz w:val="22"/>
          <w:szCs w:val="22"/>
        </w:rPr>
        <w:t>d’État.</w:t>
      </w:r>
    </w:p>
    <w:p w14:paraId="3588059E" w14:textId="22AE1ACB" w:rsidR="008C100D" w:rsidRPr="008D277B" w:rsidRDefault="008C100D" w:rsidP="00FA419F">
      <w:pPr>
        <w:pStyle w:val="Titre3"/>
        <w:spacing w:line="360" w:lineRule="auto"/>
        <w:jc w:val="both"/>
      </w:pPr>
      <w:r w:rsidRPr="008D277B">
        <w:t xml:space="preserve"> </w:t>
      </w:r>
      <w:bookmarkStart w:id="76" w:name="_Toc221704640"/>
      <w:r w:rsidRPr="008D277B">
        <w:t>Caractéristiques de la population et contexte d'exercice</w:t>
      </w:r>
      <w:bookmarkEnd w:id="76"/>
    </w:p>
    <w:p w14:paraId="3E4C43A2" w14:textId="77777777" w:rsidR="008C100D" w:rsidRPr="008D277B" w:rsidRDefault="008C100D" w:rsidP="00FA419F">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L'échantillon de l'étude offre un panorama représentatif de la diversité des parcours au sein de la profession :</w:t>
      </w:r>
    </w:p>
    <w:p w14:paraId="0ECB7166" w14:textId="343B861B" w:rsidR="008C100D" w:rsidRPr="008D277B" w:rsidRDefault="008C100D" w:rsidP="00FA419F">
      <w:pPr>
        <w:pStyle w:val="NormalWeb"/>
        <w:numPr>
          <w:ilvl w:val="0"/>
          <w:numId w:val="26"/>
        </w:numPr>
        <w:spacing w:line="360" w:lineRule="auto"/>
        <w:jc w:val="both"/>
        <w:rPr>
          <w:rFonts w:asciiTheme="minorHAnsi" w:hAnsiTheme="minorHAnsi" w:cstheme="minorHAnsi"/>
          <w:color w:val="000000"/>
          <w:sz w:val="22"/>
          <w:szCs w:val="22"/>
        </w:rPr>
      </w:pPr>
      <w:r w:rsidRPr="008D277B">
        <w:rPr>
          <w:rStyle w:val="citation-464"/>
          <w:rFonts w:asciiTheme="minorHAnsi" w:eastAsiaTheme="majorEastAsia" w:hAnsiTheme="minorHAnsi" w:cstheme="minorHAnsi"/>
          <w:b/>
          <w:bCs/>
          <w:color w:val="000000"/>
          <w:sz w:val="22"/>
          <w:szCs w:val="22"/>
        </w:rPr>
        <w:t>Profil démographique</w:t>
      </w:r>
      <w:r w:rsidRPr="008D277B">
        <w:rPr>
          <w:rStyle w:val="apple-converted-space"/>
          <w:rFonts w:asciiTheme="minorHAnsi" w:hAnsiTheme="minorHAnsi" w:cstheme="minorHAnsi"/>
          <w:color w:val="000000"/>
          <w:sz w:val="22"/>
          <w:szCs w:val="22"/>
        </w:rPr>
        <w:t> </w:t>
      </w:r>
      <w:r w:rsidRPr="008D277B">
        <w:rPr>
          <w:rStyle w:val="citation-464"/>
          <w:rFonts w:asciiTheme="minorHAnsi" w:eastAsiaTheme="majorEastAsia" w:hAnsiTheme="minorHAnsi" w:cstheme="minorHAnsi"/>
          <w:color w:val="000000"/>
          <w:sz w:val="22"/>
          <w:szCs w:val="22"/>
        </w:rPr>
        <w:t>: Le panel est majoritairement féminin (70,3 %</w:t>
      </w:r>
      <w:r w:rsidR="008D277B">
        <w:rPr>
          <w:rStyle w:val="citation-464"/>
          <w:rFonts w:asciiTheme="minorHAnsi" w:eastAsiaTheme="majorEastAsia" w:hAnsiTheme="minorHAnsi" w:cstheme="minorHAnsi"/>
          <w:color w:val="000000"/>
          <w:sz w:val="22"/>
          <w:szCs w:val="22"/>
        </w:rPr>
        <w:t xml:space="preserve">) </w:t>
      </w:r>
      <w:r w:rsidRPr="008D277B">
        <w:rPr>
          <w:rStyle w:val="citation-464"/>
          <w:rFonts w:asciiTheme="minorHAnsi" w:eastAsiaTheme="majorEastAsia" w:hAnsiTheme="minorHAnsi" w:cstheme="minorHAnsi"/>
          <w:color w:val="000000"/>
          <w:sz w:val="22"/>
          <w:szCs w:val="22"/>
        </w:rPr>
        <w:t>face à 29,7 % d'hommes</w:t>
      </w:r>
      <w:r w:rsidR="008D277B">
        <w:rPr>
          <w:rStyle w:val="citation-464"/>
          <w:rFonts w:asciiTheme="minorHAnsi" w:eastAsiaTheme="majorEastAsia"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63"/>
          <w:rFonts w:asciiTheme="minorHAnsi" w:hAnsiTheme="minorHAnsi" w:cstheme="minorHAnsi"/>
          <w:color w:val="000000"/>
          <w:sz w:val="22"/>
          <w:szCs w:val="22"/>
        </w:rPr>
        <w:t>L'âge moyen des participants s'établit à 39 ans, couvrant un spectre générationnel large allant de 23 à 69 ans</w:t>
      </w:r>
      <w:r w:rsidRPr="008D277B">
        <w:rPr>
          <w:rFonts w:asciiTheme="minorHAnsi" w:hAnsiTheme="minorHAnsi" w:cstheme="minorHAnsi"/>
          <w:color w:val="000000"/>
          <w:sz w:val="22"/>
          <w:szCs w:val="22"/>
        </w:rPr>
        <w:t>.</w:t>
      </w:r>
    </w:p>
    <w:p w14:paraId="2DCA1DD6" w14:textId="77777777" w:rsidR="008C100D" w:rsidRPr="008D277B" w:rsidRDefault="008C100D" w:rsidP="00FA419F">
      <w:pPr>
        <w:pStyle w:val="NormalWeb"/>
        <w:numPr>
          <w:ilvl w:val="0"/>
          <w:numId w:val="26"/>
        </w:numPr>
        <w:spacing w:line="360" w:lineRule="auto"/>
        <w:jc w:val="both"/>
        <w:rPr>
          <w:rFonts w:asciiTheme="minorHAnsi" w:hAnsiTheme="minorHAnsi" w:cstheme="minorHAnsi"/>
          <w:color w:val="000000"/>
          <w:sz w:val="22"/>
          <w:szCs w:val="22"/>
        </w:rPr>
      </w:pPr>
      <w:r w:rsidRPr="008D277B">
        <w:rPr>
          <w:rStyle w:val="citation-462"/>
          <w:rFonts w:asciiTheme="minorHAnsi" w:hAnsiTheme="minorHAnsi" w:cstheme="minorHAnsi"/>
          <w:b/>
          <w:bCs/>
          <w:color w:val="000000"/>
          <w:sz w:val="22"/>
          <w:szCs w:val="22"/>
        </w:rPr>
        <w:t>Expérience professionnelle</w:t>
      </w:r>
      <w:r w:rsidRPr="008D277B">
        <w:rPr>
          <w:rStyle w:val="apple-converted-space"/>
          <w:rFonts w:asciiTheme="minorHAnsi" w:hAnsiTheme="minorHAnsi" w:cstheme="minorHAnsi"/>
          <w:color w:val="000000"/>
          <w:sz w:val="22"/>
          <w:szCs w:val="22"/>
        </w:rPr>
        <w:t> </w:t>
      </w:r>
      <w:r w:rsidRPr="008D277B">
        <w:rPr>
          <w:rStyle w:val="citation-462"/>
          <w:rFonts w:asciiTheme="minorHAnsi" w:hAnsiTheme="minorHAnsi" w:cstheme="minorHAnsi"/>
          <w:color w:val="000000"/>
          <w:sz w:val="22"/>
          <w:szCs w:val="22"/>
        </w:rPr>
        <w:t>: La répartition témoigne d'une expertise clinique importante, puisque plus de la moitié des praticiens possède plus de 10 ans d'exercice</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61"/>
          <w:rFonts w:asciiTheme="minorHAnsi" w:hAnsiTheme="minorHAnsi" w:cstheme="minorHAnsi"/>
          <w:color w:val="000000"/>
          <w:sz w:val="22"/>
          <w:szCs w:val="22"/>
        </w:rPr>
        <w:t>On dénombre 14 participants ayant plus de 20 ans d'expérience, 9 entre 11 et 20 ans, 12 entre 5 et 10 ans, et seulement 2 néo-diplômés de moins de 5 ans</w:t>
      </w:r>
      <w:r w:rsidRPr="008D277B">
        <w:rPr>
          <w:rFonts w:asciiTheme="minorHAnsi" w:hAnsiTheme="minorHAnsi" w:cstheme="minorHAnsi"/>
          <w:color w:val="000000"/>
          <w:sz w:val="22"/>
          <w:szCs w:val="22"/>
        </w:rPr>
        <w:t>.</w:t>
      </w:r>
    </w:p>
    <w:p w14:paraId="3DE77508" w14:textId="715E2492" w:rsidR="008C100D" w:rsidRPr="008D277B" w:rsidRDefault="008C100D" w:rsidP="00FA419F">
      <w:pPr>
        <w:pStyle w:val="NormalWeb"/>
        <w:numPr>
          <w:ilvl w:val="0"/>
          <w:numId w:val="26"/>
        </w:numPr>
        <w:spacing w:line="360" w:lineRule="auto"/>
        <w:jc w:val="both"/>
        <w:rPr>
          <w:rFonts w:asciiTheme="minorHAnsi" w:hAnsiTheme="minorHAnsi" w:cstheme="minorHAnsi"/>
          <w:color w:val="000000"/>
          <w:sz w:val="22"/>
          <w:szCs w:val="22"/>
        </w:rPr>
      </w:pPr>
      <w:r w:rsidRPr="008D277B">
        <w:rPr>
          <w:rStyle w:val="citation-460"/>
          <w:rFonts w:asciiTheme="minorHAnsi" w:hAnsiTheme="minorHAnsi" w:cstheme="minorHAnsi"/>
          <w:b/>
          <w:bCs/>
          <w:color w:val="000000"/>
          <w:sz w:val="22"/>
          <w:szCs w:val="22"/>
        </w:rPr>
        <w:t>Environnement de pratique</w:t>
      </w:r>
      <w:r w:rsidRPr="008D277B">
        <w:rPr>
          <w:rStyle w:val="apple-converted-space"/>
          <w:rFonts w:asciiTheme="minorHAnsi" w:hAnsiTheme="minorHAnsi" w:cstheme="minorHAnsi"/>
          <w:color w:val="000000"/>
          <w:sz w:val="22"/>
          <w:szCs w:val="22"/>
        </w:rPr>
        <w:t> </w:t>
      </w:r>
      <w:r w:rsidRPr="008D277B">
        <w:rPr>
          <w:rStyle w:val="citation-460"/>
          <w:rFonts w:asciiTheme="minorHAnsi" w:hAnsiTheme="minorHAnsi" w:cstheme="minorHAnsi"/>
          <w:color w:val="000000"/>
          <w:sz w:val="22"/>
          <w:szCs w:val="22"/>
        </w:rPr>
        <w:t>: L'exercice en cabinet libéral est quasi exclusif avec 94,6 % des répondants, complété par des interventions ponctuelles en milieu hospitalier</w:t>
      </w:r>
      <w:r w:rsidR="00A77212">
        <w:rPr>
          <w:rStyle w:val="citation-460"/>
          <w:rFonts w:asciiTheme="minorHAnsi" w:hAnsiTheme="minorHAnsi" w:cstheme="minorHAnsi"/>
          <w:color w:val="000000"/>
          <w:sz w:val="22"/>
          <w:szCs w:val="22"/>
        </w:rPr>
        <w:t xml:space="preserve"> </w:t>
      </w:r>
      <w:r w:rsidRPr="008D277B">
        <w:rPr>
          <w:rStyle w:val="citation-460"/>
          <w:rFonts w:asciiTheme="minorHAnsi" w:hAnsiTheme="minorHAnsi" w:cstheme="minorHAnsi"/>
          <w:color w:val="000000"/>
          <w:sz w:val="22"/>
          <w:szCs w:val="22"/>
        </w:rPr>
        <w:t>ou en Service de Soins à Domicile</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59"/>
          <w:rFonts w:asciiTheme="minorHAnsi" w:hAnsiTheme="minorHAnsi" w:cstheme="minorHAnsi"/>
          <w:color w:val="000000"/>
          <w:sz w:val="22"/>
          <w:szCs w:val="22"/>
        </w:rPr>
        <w:t>La couverture géographique est nationale, incluant des régions telles que l'Occitanie, Provence-Alpes-Côte d’Azur, la Bourgogne-Franche-Comté ou encore la Bretagne</w:t>
      </w:r>
      <w:r w:rsidRPr="008D277B">
        <w:rPr>
          <w:rFonts w:asciiTheme="minorHAnsi" w:hAnsiTheme="minorHAnsi" w:cstheme="minorHAnsi"/>
          <w:color w:val="000000"/>
          <w:sz w:val="22"/>
          <w:szCs w:val="22"/>
        </w:rPr>
        <w:t>.</w:t>
      </w:r>
    </w:p>
    <w:p w14:paraId="73818906" w14:textId="77777777" w:rsidR="008C100D" w:rsidRPr="008D277B" w:rsidRDefault="008C100D" w:rsidP="00FA419F">
      <w:pPr>
        <w:pStyle w:val="NormalWeb"/>
        <w:numPr>
          <w:ilvl w:val="0"/>
          <w:numId w:val="26"/>
        </w:numPr>
        <w:spacing w:line="360" w:lineRule="auto"/>
        <w:jc w:val="both"/>
        <w:rPr>
          <w:rFonts w:asciiTheme="minorHAnsi" w:hAnsiTheme="minorHAnsi" w:cstheme="minorHAnsi"/>
          <w:color w:val="000000"/>
          <w:sz w:val="22"/>
          <w:szCs w:val="22"/>
        </w:rPr>
      </w:pPr>
      <w:r w:rsidRPr="008D277B">
        <w:rPr>
          <w:rStyle w:val="citation-458"/>
          <w:rFonts w:asciiTheme="minorHAnsi" w:hAnsiTheme="minorHAnsi" w:cstheme="minorHAnsi"/>
          <w:b/>
          <w:bCs/>
          <w:color w:val="000000"/>
          <w:sz w:val="22"/>
          <w:szCs w:val="22"/>
        </w:rPr>
        <w:t>Patientèle cible</w:t>
      </w:r>
      <w:r w:rsidRPr="008D277B">
        <w:rPr>
          <w:rStyle w:val="apple-converted-space"/>
          <w:rFonts w:asciiTheme="minorHAnsi" w:hAnsiTheme="minorHAnsi" w:cstheme="minorHAnsi"/>
          <w:color w:val="000000"/>
          <w:sz w:val="22"/>
          <w:szCs w:val="22"/>
        </w:rPr>
        <w:t> </w:t>
      </w:r>
      <w:r w:rsidRPr="008D277B">
        <w:rPr>
          <w:rStyle w:val="citation-458"/>
          <w:rFonts w:asciiTheme="minorHAnsi" w:hAnsiTheme="minorHAnsi" w:cstheme="minorHAnsi"/>
          <w:color w:val="000000"/>
          <w:sz w:val="22"/>
          <w:szCs w:val="22"/>
        </w:rPr>
        <w:t>: L'enjeu de l'équilibre est quotidien pour ces praticiens : 81 % d'entre eux déclarent que les personnes âgées de plus de 60 ans représentent plus du quart de leur activité, avec même 17 participants pour qui cette proportion dépasse les 50 %</w:t>
      </w:r>
      <w:r w:rsidRPr="008D277B">
        <w:rPr>
          <w:rFonts w:asciiTheme="minorHAnsi" w:hAnsiTheme="minorHAnsi" w:cstheme="minorHAnsi"/>
          <w:color w:val="000000"/>
          <w:sz w:val="22"/>
          <w:szCs w:val="22"/>
        </w:rPr>
        <w:t>.</w:t>
      </w:r>
    </w:p>
    <w:p w14:paraId="4B729235" w14:textId="360024D2" w:rsidR="008C100D" w:rsidRPr="00A77212" w:rsidRDefault="008C100D" w:rsidP="00A77212">
      <w:pPr>
        <w:pStyle w:val="Titre3"/>
      </w:pPr>
      <w:bookmarkStart w:id="77" w:name="_Toc221704641"/>
      <w:r w:rsidRPr="00A77212">
        <w:t>Modalités et temporalité de l'évaluation de l'équilibre</w:t>
      </w:r>
      <w:bookmarkEnd w:id="77"/>
    </w:p>
    <w:p w14:paraId="055FCBCE"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L'analyse des pratiques révèle une volonté de dépistage systématique, mais fortement contrainte par le temps :</w:t>
      </w:r>
    </w:p>
    <w:p w14:paraId="471A5B6D" w14:textId="413CB8F2" w:rsidR="008C100D" w:rsidRPr="008D277B" w:rsidRDefault="008C100D" w:rsidP="008D277B">
      <w:pPr>
        <w:pStyle w:val="NormalWeb"/>
        <w:numPr>
          <w:ilvl w:val="0"/>
          <w:numId w:val="27"/>
        </w:numPr>
        <w:spacing w:line="360" w:lineRule="auto"/>
        <w:jc w:val="both"/>
        <w:rPr>
          <w:rFonts w:asciiTheme="minorHAnsi" w:hAnsiTheme="minorHAnsi" w:cstheme="minorHAnsi"/>
          <w:color w:val="000000"/>
          <w:sz w:val="22"/>
          <w:szCs w:val="22"/>
        </w:rPr>
      </w:pPr>
      <w:r w:rsidRPr="008D277B">
        <w:rPr>
          <w:rStyle w:val="citation-457"/>
          <w:rFonts w:asciiTheme="minorHAnsi" w:hAnsiTheme="minorHAnsi" w:cstheme="minorHAnsi"/>
          <w:b/>
          <w:bCs/>
          <w:color w:val="000000"/>
          <w:sz w:val="22"/>
          <w:szCs w:val="22"/>
        </w:rPr>
        <w:t>Fréquence de l'acte</w:t>
      </w:r>
      <w:r w:rsidRPr="008D277B">
        <w:rPr>
          <w:rStyle w:val="apple-converted-space"/>
          <w:rFonts w:asciiTheme="minorHAnsi" w:hAnsiTheme="minorHAnsi" w:cstheme="minorHAnsi"/>
          <w:color w:val="000000"/>
          <w:sz w:val="22"/>
          <w:szCs w:val="22"/>
        </w:rPr>
        <w:t> </w:t>
      </w:r>
      <w:r w:rsidRPr="008D277B">
        <w:rPr>
          <w:rStyle w:val="citation-457"/>
          <w:rFonts w:asciiTheme="minorHAnsi" w:hAnsiTheme="minorHAnsi" w:cstheme="minorHAnsi"/>
          <w:color w:val="000000"/>
          <w:sz w:val="22"/>
          <w:szCs w:val="22"/>
        </w:rPr>
        <w:t xml:space="preserve">: 59,4 % des masseurs-kinésithérapeutes évaluent le contrôle postural de manière « fréquente » ou « systématique » lors de la prise en charge d'un senior, quel que soit </w:t>
      </w:r>
      <w:r w:rsidRPr="008D277B">
        <w:rPr>
          <w:rStyle w:val="citation-457"/>
          <w:rFonts w:asciiTheme="minorHAnsi" w:hAnsiTheme="minorHAnsi" w:cstheme="minorHAnsi"/>
          <w:color w:val="000000"/>
          <w:sz w:val="22"/>
          <w:szCs w:val="22"/>
        </w:rPr>
        <w:lastRenderedPageBreak/>
        <w:t>le motif de consultation</w:t>
      </w:r>
      <w:r w:rsidRPr="008D277B">
        <w:rPr>
          <w:rFonts w:asciiTheme="minorHAnsi" w:hAnsiTheme="minorHAnsi" w:cstheme="minorHAnsi"/>
          <w:color w:val="000000"/>
          <w:sz w:val="22"/>
          <w:szCs w:val="22"/>
        </w:rPr>
        <w:t>.</w:t>
      </w:r>
      <w:r w:rsidR="00B0318E">
        <w:rPr>
          <w:rFonts w:asciiTheme="minorHAnsi" w:hAnsiTheme="minorHAnsi" w:cstheme="minorHAnsi"/>
          <w:color w:val="000000"/>
          <w:sz w:val="22"/>
          <w:szCs w:val="22"/>
        </w:rPr>
        <w:t xml:space="preserve"> Cela indique que cette pratique est ancrée dans le quotidien des kinésithérapeutes.</w:t>
      </w:r>
    </w:p>
    <w:p w14:paraId="59324A46" w14:textId="21CDC745" w:rsidR="008C100D" w:rsidRPr="008D277B" w:rsidRDefault="008C100D" w:rsidP="008D277B">
      <w:pPr>
        <w:pStyle w:val="NormalWeb"/>
        <w:numPr>
          <w:ilvl w:val="0"/>
          <w:numId w:val="27"/>
        </w:numPr>
        <w:spacing w:line="360" w:lineRule="auto"/>
        <w:jc w:val="both"/>
        <w:rPr>
          <w:rFonts w:asciiTheme="minorHAnsi" w:hAnsiTheme="minorHAnsi" w:cstheme="minorHAnsi"/>
          <w:color w:val="000000"/>
          <w:sz w:val="22"/>
          <w:szCs w:val="22"/>
        </w:rPr>
      </w:pPr>
      <w:r w:rsidRPr="008D277B">
        <w:rPr>
          <w:rStyle w:val="citation-456"/>
          <w:rFonts w:asciiTheme="minorHAnsi" w:hAnsiTheme="minorHAnsi" w:cstheme="minorHAnsi"/>
          <w:b/>
          <w:bCs/>
          <w:color w:val="000000"/>
          <w:sz w:val="22"/>
          <w:szCs w:val="22"/>
        </w:rPr>
        <w:t>Investissement temporel</w:t>
      </w:r>
      <w:r w:rsidRPr="008D277B">
        <w:rPr>
          <w:rStyle w:val="apple-converted-space"/>
          <w:rFonts w:asciiTheme="minorHAnsi" w:hAnsiTheme="minorHAnsi" w:cstheme="minorHAnsi"/>
          <w:color w:val="000000"/>
          <w:sz w:val="22"/>
          <w:szCs w:val="22"/>
        </w:rPr>
        <w:t> </w:t>
      </w:r>
      <w:r w:rsidRPr="008D277B">
        <w:rPr>
          <w:rStyle w:val="citation-456"/>
          <w:rFonts w:asciiTheme="minorHAnsi" w:hAnsiTheme="minorHAnsi" w:cstheme="minorHAnsi"/>
          <w:color w:val="000000"/>
          <w:sz w:val="22"/>
          <w:szCs w:val="22"/>
        </w:rPr>
        <w:t>: La majorité absolue des praticiens (59,5 %) consacre moins de 10 minutes à cette évaluation</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55"/>
          <w:rFonts w:asciiTheme="minorHAnsi" w:hAnsiTheme="minorHAnsi" w:cstheme="minorHAnsi"/>
          <w:color w:val="000000"/>
          <w:sz w:val="22"/>
          <w:szCs w:val="22"/>
        </w:rPr>
        <w:t>Seul un répondant déclare y accorder plus de 30 minutes, tandis que 37,8 % consacrent entre 10 et 20 minutes à cet examen</w:t>
      </w:r>
      <w:r w:rsidRPr="008D277B">
        <w:rPr>
          <w:rFonts w:asciiTheme="minorHAnsi" w:hAnsiTheme="minorHAnsi" w:cstheme="minorHAnsi"/>
          <w:color w:val="000000"/>
          <w:sz w:val="22"/>
          <w:szCs w:val="22"/>
        </w:rPr>
        <w:t>.</w:t>
      </w:r>
      <w:r w:rsidR="00FA419F">
        <w:rPr>
          <w:rFonts w:asciiTheme="minorHAnsi" w:hAnsiTheme="minorHAnsi" w:cstheme="minorHAnsi"/>
          <w:color w:val="000000"/>
          <w:sz w:val="22"/>
          <w:szCs w:val="22"/>
        </w:rPr>
        <w:t xml:space="preserve"> Cela appuie le fait que le facteur temps est à prendre en compte par les kinésithérapeutes.</w:t>
      </w:r>
    </w:p>
    <w:p w14:paraId="79584BEC" w14:textId="0FD5B8E7" w:rsidR="008C100D" w:rsidRPr="00A77212" w:rsidRDefault="008C100D" w:rsidP="00A77212">
      <w:pPr>
        <w:pStyle w:val="Titre3"/>
      </w:pPr>
      <w:bookmarkStart w:id="78" w:name="_Toc221704642"/>
      <w:r w:rsidRPr="00A77212">
        <w:t>Analyse des outils cliniques et critères de sélection</w:t>
      </w:r>
      <w:bookmarkEnd w:id="78"/>
    </w:p>
    <w:p w14:paraId="4B659D89"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La hiérarchie des tests utilisés démontre une recherche d'efficience clinique au détriment parfois de l'exhaustivité diagnostique :</w:t>
      </w:r>
    </w:p>
    <w:p w14:paraId="145973E7" w14:textId="77777777" w:rsidR="008C100D" w:rsidRPr="00A77212" w:rsidRDefault="008C100D" w:rsidP="008D277B">
      <w:pPr>
        <w:pStyle w:val="NormalWeb"/>
        <w:numPr>
          <w:ilvl w:val="0"/>
          <w:numId w:val="28"/>
        </w:numPr>
        <w:spacing w:line="360" w:lineRule="auto"/>
        <w:jc w:val="both"/>
        <w:rPr>
          <w:rFonts w:asciiTheme="minorHAnsi" w:hAnsiTheme="minorHAnsi" w:cstheme="minorHAnsi"/>
          <w:color w:val="000000"/>
          <w:sz w:val="22"/>
          <w:szCs w:val="22"/>
        </w:rPr>
      </w:pPr>
      <w:r w:rsidRPr="00A77212">
        <w:rPr>
          <w:rStyle w:val="citation-454"/>
          <w:rFonts w:asciiTheme="minorHAnsi" w:hAnsiTheme="minorHAnsi" w:cstheme="minorHAnsi"/>
          <w:b/>
          <w:bCs/>
          <w:color w:val="000000"/>
          <w:sz w:val="22"/>
          <w:szCs w:val="22"/>
        </w:rPr>
        <w:t>Tests prédominants</w:t>
      </w:r>
      <w:r w:rsidRPr="00A77212">
        <w:rPr>
          <w:rStyle w:val="apple-converted-space"/>
          <w:rFonts w:asciiTheme="minorHAnsi" w:hAnsiTheme="minorHAnsi" w:cstheme="minorHAnsi"/>
          <w:b/>
          <w:bCs/>
          <w:color w:val="000000"/>
          <w:sz w:val="22"/>
          <w:szCs w:val="22"/>
        </w:rPr>
        <w:t> </w:t>
      </w:r>
      <w:r w:rsidRPr="00A77212">
        <w:rPr>
          <w:rStyle w:val="citation-454"/>
          <w:rFonts w:asciiTheme="minorHAnsi" w:hAnsiTheme="minorHAnsi" w:cstheme="minorHAnsi"/>
          <w:b/>
          <w:bCs/>
          <w:color w:val="000000"/>
          <w:sz w:val="22"/>
          <w:szCs w:val="22"/>
        </w:rPr>
        <w:t>:</w:t>
      </w:r>
      <w:r w:rsidRPr="00A77212">
        <w:rPr>
          <w:rStyle w:val="citation-454"/>
          <w:rFonts w:asciiTheme="minorHAnsi" w:hAnsiTheme="minorHAnsi" w:cstheme="minorHAnsi"/>
          <w:color w:val="000000"/>
          <w:sz w:val="22"/>
          <w:szCs w:val="22"/>
        </w:rPr>
        <w:t xml:space="preserve"> Le test d'appui unipodal</w:t>
      </w:r>
      <w:r w:rsidRPr="00A77212">
        <w:rPr>
          <w:rStyle w:val="apple-converted-space"/>
          <w:rFonts w:asciiTheme="minorHAnsi" w:hAnsiTheme="minorHAnsi" w:cstheme="minorHAnsi"/>
          <w:color w:val="000000"/>
          <w:sz w:val="22"/>
          <w:szCs w:val="22"/>
        </w:rPr>
        <w:t> </w:t>
      </w:r>
      <w:r w:rsidRPr="00A77212">
        <w:rPr>
          <w:rStyle w:val="citation-454"/>
          <w:rFonts w:asciiTheme="minorHAnsi" w:hAnsiTheme="minorHAnsi" w:cstheme="minorHAnsi"/>
          <w:color w:val="000000"/>
          <w:sz w:val="22"/>
          <w:szCs w:val="22"/>
        </w:rPr>
        <w:t>est le seul outil utilisé systématiquement par plus de la moitié de l'échantillon (55,3 %) et est connu de tous les participants</w:t>
      </w:r>
      <w:r w:rsidRPr="00A77212">
        <w:rPr>
          <w:rFonts w:asciiTheme="minorHAnsi" w:hAnsiTheme="minorHAnsi" w:cstheme="minorHAnsi"/>
          <w:color w:val="000000"/>
          <w:sz w:val="22"/>
          <w:szCs w:val="22"/>
        </w:rPr>
        <w:t>.</w:t>
      </w:r>
      <w:r w:rsidRPr="00A77212">
        <w:rPr>
          <w:rStyle w:val="apple-converted-space"/>
          <w:rFonts w:asciiTheme="minorHAnsi" w:hAnsiTheme="minorHAnsi" w:cstheme="minorHAnsi"/>
          <w:color w:val="000000"/>
          <w:sz w:val="22"/>
          <w:szCs w:val="22"/>
        </w:rPr>
        <w:t> </w:t>
      </w:r>
      <w:r w:rsidRPr="00A77212">
        <w:rPr>
          <w:rStyle w:val="citation-453"/>
          <w:rFonts w:asciiTheme="minorHAnsi" w:hAnsiTheme="minorHAnsi" w:cstheme="minorHAnsi"/>
          <w:color w:val="000000"/>
          <w:sz w:val="22"/>
          <w:szCs w:val="22"/>
        </w:rPr>
        <w:t>Il est suivi par le</w:t>
      </w:r>
      <w:r w:rsidRPr="00A77212">
        <w:rPr>
          <w:rStyle w:val="apple-converted-space"/>
          <w:rFonts w:asciiTheme="minorHAnsi" w:hAnsiTheme="minorHAnsi" w:cstheme="minorHAnsi"/>
          <w:color w:val="000000"/>
          <w:sz w:val="22"/>
          <w:szCs w:val="22"/>
        </w:rPr>
        <w:t> </w:t>
      </w:r>
      <w:proofErr w:type="spellStart"/>
      <w:r w:rsidRPr="00A77212">
        <w:rPr>
          <w:rStyle w:val="citation-453"/>
          <w:rFonts w:asciiTheme="minorHAnsi" w:hAnsiTheme="minorHAnsi" w:cstheme="minorHAnsi"/>
          <w:color w:val="000000"/>
          <w:sz w:val="22"/>
          <w:szCs w:val="22"/>
        </w:rPr>
        <w:t>Timed</w:t>
      </w:r>
      <w:proofErr w:type="spellEnd"/>
      <w:r w:rsidRPr="00A77212">
        <w:rPr>
          <w:rStyle w:val="citation-453"/>
          <w:rFonts w:asciiTheme="minorHAnsi" w:hAnsiTheme="minorHAnsi" w:cstheme="minorHAnsi"/>
          <w:color w:val="000000"/>
          <w:sz w:val="22"/>
          <w:szCs w:val="22"/>
        </w:rPr>
        <w:t xml:space="preserve"> Up and Go (TUG)</w:t>
      </w:r>
      <w:r w:rsidRPr="00A77212">
        <w:rPr>
          <w:rStyle w:val="apple-converted-space"/>
          <w:rFonts w:asciiTheme="minorHAnsi" w:hAnsiTheme="minorHAnsi" w:cstheme="minorHAnsi"/>
          <w:color w:val="000000"/>
          <w:sz w:val="22"/>
          <w:szCs w:val="22"/>
        </w:rPr>
        <w:t> </w:t>
      </w:r>
      <w:r w:rsidRPr="00A77212">
        <w:rPr>
          <w:rStyle w:val="citation-453"/>
          <w:rFonts w:asciiTheme="minorHAnsi" w:hAnsiTheme="minorHAnsi" w:cstheme="minorHAnsi"/>
          <w:color w:val="000000"/>
          <w:sz w:val="22"/>
          <w:szCs w:val="22"/>
        </w:rPr>
        <w:t>(15,8 % d'usage systématique) et le</w:t>
      </w:r>
      <w:r w:rsidRPr="00A77212">
        <w:rPr>
          <w:rStyle w:val="apple-converted-space"/>
          <w:rFonts w:asciiTheme="minorHAnsi" w:hAnsiTheme="minorHAnsi" w:cstheme="minorHAnsi"/>
          <w:color w:val="000000"/>
          <w:sz w:val="22"/>
          <w:szCs w:val="22"/>
        </w:rPr>
        <w:t> </w:t>
      </w:r>
      <w:r w:rsidRPr="00A77212">
        <w:rPr>
          <w:rStyle w:val="citation-453"/>
          <w:rFonts w:asciiTheme="minorHAnsi" w:hAnsiTheme="minorHAnsi" w:cstheme="minorHAnsi"/>
          <w:color w:val="000000"/>
          <w:sz w:val="22"/>
          <w:szCs w:val="22"/>
        </w:rPr>
        <w:t>test de Tinetti</w:t>
      </w:r>
      <w:r w:rsidRPr="00A77212">
        <w:rPr>
          <w:rStyle w:val="apple-converted-space"/>
          <w:rFonts w:asciiTheme="minorHAnsi" w:hAnsiTheme="minorHAnsi" w:cstheme="minorHAnsi"/>
          <w:color w:val="000000"/>
          <w:sz w:val="22"/>
          <w:szCs w:val="22"/>
        </w:rPr>
        <w:t> </w:t>
      </w:r>
      <w:r w:rsidRPr="00A77212">
        <w:rPr>
          <w:rStyle w:val="citation-453"/>
          <w:rFonts w:asciiTheme="minorHAnsi" w:hAnsiTheme="minorHAnsi" w:cstheme="minorHAnsi"/>
          <w:color w:val="000000"/>
          <w:sz w:val="22"/>
          <w:szCs w:val="22"/>
        </w:rPr>
        <w:t>(13,2 %)</w:t>
      </w:r>
      <w:r w:rsidRPr="00A77212">
        <w:rPr>
          <w:rFonts w:asciiTheme="minorHAnsi" w:hAnsiTheme="minorHAnsi" w:cstheme="minorHAnsi"/>
          <w:color w:val="000000"/>
          <w:sz w:val="22"/>
          <w:szCs w:val="22"/>
        </w:rPr>
        <w:t>.</w:t>
      </w:r>
    </w:p>
    <w:p w14:paraId="46C0244F" w14:textId="77777777" w:rsidR="008C100D" w:rsidRPr="00A77212" w:rsidRDefault="008C100D" w:rsidP="008D277B">
      <w:pPr>
        <w:pStyle w:val="NormalWeb"/>
        <w:numPr>
          <w:ilvl w:val="0"/>
          <w:numId w:val="28"/>
        </w:numPr>
        <w:spacing w:line="360" w:lineRule="auto"/>
        <w:jc w:val="both"/>
        <w:rPr>
          <w:rFonts w:asciiTheme="minorHAnsi" w:hAnsiTheme="minorHAnsi" w:cstheme="minorHAnsi"/>
          <w:color w:val="000000"/>
          <w:sz w:val="22"/>
          <w:szCs w:val="22"/>
        </w:rPr>
      </w:pPr>
      <w:r w:rsidRPr="00A77212">
        <w:rPr>
          <w:rStyle w:val="citation-452"/>
          <w:rFonts w:asciiTheme="minorHAnsi" w:hAnsiTheme="minorHAnsi" w:cstheme="minorHAnsi"/>
          <w:b/>
          <w:bCs/>
          <w:color w:val="000000"/>
          <w:sz w:val="22"/>
          <w:szCs w:val="22"/>
        </w:rPr>
        <w:t>Outils complexes ou méconnus</w:t>
      </w:r>
      <w:r w:rsidRPr="00A77212">
        <w:rPr>
          <w:rStyle w:val="apple-converted-space"/>
          <w:rFonts w:asciiTheme="minorHAnsi" w:hAnsiTheme="minorHAnsi" w:cstheme="minorHAnsi"/>
          <w:b/>
          <w:bCs/>
          <w:color w:val="000000"/>
          <w:sz w:val="22"/>
          <w:szCs w:val="22"/>
        </w:rPr>
        <w:t> </w:t>
      </w:r>
      <w:r w:rsidRPr="00A77212">
        <w:rPr>
          <w:rStyle w:val="citation-452"/>
          <w:rFonts w:asciiTheme="minorHAnsi" w:hAnsiTheme="minorHAnsi" w:cstheme="minorHAnsi"/>
          <w:b/>
          <w:bCs/>
          <w:color w:val="000000"/>
          <w:sz w:val="22"/>
          <w:szCs w:val="22"/>
        </w:rPr>
        <w:t>:</w:t>
      </w:r>
      <w:r w:rsidRPr="00A77212">
        <w:rPr>
          <w:rStyle w:val="citation-452"/>
          <w:rFonts w:asciiTheme="minorHAnsi" w:hAnsiTheme="minorHAnsi" w:cstheme="minorHAnsi"/>
          <w:color w:val="000000"/>
          <w:sz w:val="22"/>
          <w:szCs w:val="22"/>
        </w:rPr>
        <w:t xml:space="preserve"> Les échelles plus globales comme l'Échelle de Berg</w:t>
      </w:r>
      <w:r w:rsidRPr="00A77212">
        <w:rPr>
          <w:rStyle w:val="apple-converted-space"/>
          <w:rFonts w:asciiTheme="minorHAnsi" w:hAnsiTheme="minorHAnsi" w:cstheme="minorHAnsi"/>
          <w:color w:val="000000"/>
          <w:sz w:val="22"/>
          <w:szCs w:val="22"/>
        </w:rPr>
        <w:t> </w:t>
      </w:r>
      <w:r w:rsidRPr="00A77212">
        <w:rPr>
          <w:rStyle w:val="citation-452"/>
          <w:rFonts w:asciiTheme="minorHAnsi" w:hAnsiTheme="minorHAnsi" w:cstheme="minorHAnsi"/>
          <w:color w:val="000000"/>
          <w:sz w:val="22"/>
          <w:szCs w:val="22"/>
        </w:rPr>
        <w:t>ne sont utilisées systématiquement que par 7,9 % des répondants</w:t>
      </w:r>
      <w:r w:rsidRPr="00A77212">
        <w:rPr>
          <w:rFonts w:asciiTheme="minorHAnsi" w:hAnsiTheme="minorHAnsi" w:cstheme="minorHAnsi"/>
          <w:color w:val="000000"/>
          <w:sz w:val="22"/>
          <w:szCs w:val="22"/>
        </w:rPr>
        <w:t>.</w:t>
      </w:r>
      <w:r w:rsidRPr="00A77212">
        <w:rPr>
          <w:rStyle w:val="apple-converted-space"/>
          <w:rFonts w:asciiTheme="minorHAnsi" w:hAnsiTheme="minorHAnsi" w:cstheme="minorHAnsi"/>
          <w:color w:val="000000"/>
          <w:sz w:val="22"/>
          <w:szCs w:val="22"/>
        </w:rPr>
        <w:t> </w:t>
      </w:r>
      <w:r w:rsidRPr="00A77212">
        <w:rPr>
          <w:rStyle w:val="citation-451"/>
          <w:rFonts w:asciiTheme="minorHAnsi" w:hAnsiTheme="minorHAnsi" w:cstheme="minorHAnsi"/>
          <w:color w:val="000000"/>
          <w:sz w:val="22"/>
          <w:szCs w:val="22"/>
        </w:rPr>
        <w:t>Les tests les plus complets, tels que le</w:t>
      </w:r>
      <w:r w:rsidRPr="00A77212">
        <w:rPr>
          <w:rStyle w:val="apple-converted-space"/>
          <w:rFonts w:asciiTheme="minorHAnsi" w:hAnsiTheme="minorHAnsi" w:cstheme="minorHAnsi"/>
          <w:color w:val="000000"/>
          <w:sz w:val="22"/>
          <w:szCs w:val="22"/>
        </w:rPr>
        <w:t> </w:t>
      </w:r>
      <w:proofErr w:type="spellStart"/>
      <w:r w:rsidRPr="00A77212">
        <w:rPr>
          <w:rStyle w:val="citation-451"/>
          <w:rFonts w:asciiTheme="minorHAnsi" w:hAnsiTheme="minorHAnsi" w:cstheme="minorHAnsi"/>
          <w:color w:val="000000"/>
          <w:sz w:val="22"/>
          <w:szCs w:val="22"/>
        </w:rPr>
        <w:t>BESTest</w:t>
      </w:r>
      <w:proofErr w:type="spellEnd"/>
      <w:r w:rsidRPr="00A77212">
        <w:rPr>
          <w:rStyle w:val="apple-converted-space"/>
          <w:rFonts w:asciiTheme="minorHAnsi" w:hAnsiTheme="minorHAnsi" w:cstheme="minorHAnsi"/>
          <w:color w:val="000000"/>
          <w:sz w:val="22"/>
          <w:szCs w:val="22"/>
        </w:rPr>
        <w:t> </w:t>
      </w:r>
      <w:r w:rsidRPr="00A77212">
        <w:rPr>
          <w:rStyle w:val="citation-451"/>
          <w:rFonts w:asciiTheme="minorHAnsi" w:hAnsiTheme="minorHAnsi" w:cstheme="minorHAnsi"/>
          <w:color w:val="000000"/>
          <w:sz w:val="22"/>
          <w:szCs w:val="22"/>
        </w:rPr>
        <w:t>ou le</w:t>
      </w:r>
      <w:r w:rsidRPr="00A77212">
        <w:rPr>
          <w:rStyle w:val="apple-converted-space"/>
          <w:rFonts w:asciiTheme="minorHAnsi" w:hAnsiTheme="minorHAnsi" w:cstheme="minorHAnsi"/>
          <w:color w:val="000000"/>
          <w:sz w:val="22"/>
          <w:szCs w:val="22"/>
        </w:rPr>
        <w:t> </w:t>
      </w:r>
      <w:r w:rsidRPr="00A77212">
        <w:rPr>
          <w:rStyle w:val="citation-451"/>
          <w:rFonts w:asciiTheme="minorHAnsi" w:hAnsiTheme="minorHAnsi" w:cstheme="minorHAnsi"/>
          <w:color w:val="000000"/>
          <w:sz w:val="22"/>
          <w:szCs w:val="22"/>
        </w:rPr>
        <w:t>Mini-</w:t>
      </w:r>
      <w:proofErr w:type="spellStart"/>
      <w:r w:rsidRPr="00A77212">
        <w:rPr>
          <w:rStyle w:val="citation-451"/>
          <w:rFonts w:asciiTheme="minorHAnsi" w:hAnsiTheme="minorHAnsi" w:cstheme="minorHAnsi"/>
          <w:color w:val="000000"/>
          <w:sz w:val="22"/>
          <w:szCs w:val="22"/>
        </w:rPr>
        <w:t>BESTest</w:t>
      </w:r>
      <w:proofErr w:type="spellEnd"/>
      <w:r w:rsidRPr="00A77212">
        <w:rPr>
          <w:rStyle w:val="citation-451"/>
          <w:rFonts w:asciiTheme="minorHAnsi" w:hAnsiTheme="minorHAnsi" w:cstheme="minorHAnsi"/>
          <w:color w:val="000000"/>
          <w:sz w:val="22"/>
          <w:szCs w:val="22"/>
        </w:rPr>
        <w:t>, souffrent d'un déficit de notoriété important, avec respectivement 39,5 % et 42,1 % de praticiens déclarant ne pas les connaître</w:t>
      </w:r>
      <w:r w:rsidRPr="00A77212">
        <w:rPr>
          <w:rFonts w:asciiTheme="minorHAnsi" w:hAnsiTheme="minorHAnsi" w:cstheme="minorHAnsi"/>
          <w:color w:val="000000"/>
          <w:sz w:val="22"/>
          <w:szCs w:val="22"/>
        </w:rPr>
        <w:t>.</w:t>
      </w:r>
    </w:p>
    <w:p w14:paraId="0F5F1485" w14:textId="1961F27D" w:rsidR="00271111" w:rsidRPr="00271111" w:rsidRDefault="008C100D" w:rsidP="00271111">
      <w:pPr>
        <w:pStyle w:val="NormalWeb"/>
        <w:numPr>
          <w:ilvl w:val="0"/>
          <w:numId w:val="28"/>
        </w:numPr>
        <w:spacing w:line="360" w:lineRule="auto"/>
        <w:jc w:val="both"/>
        <w:rPr>
          <w:rFonts w:asciiTheme="minorHAnsi" w:hAnsiTheme="minorHAnsi" w:cstheme="minorHAnsi"/>
          <w:color w:val="000000"/>
          <w:sz w:val="22"/>
          <w:szCs w:val="22"/>
        </w:rPr>
      </w:pPr>
      <w:r w:rsidRPr="00A77212">
        <w:rPr>
          <w:rStyle w:val="citation-450"/>
          <w:rFonts w:asciiTheme="minorHAnsi" w:hAnsiTheme="minorHAnsi" w:cstheme="minorHAnsi"/>
          <w:b/>
          <w:bCs/>
          <w:color w:val="000000"/>
          <w:sz w:val="22"/>
          <w:szCs w:val="22"/>
        </w:rPr>
        <w:t>Déterminants du choix</w:t>
      </w:r>
      <w:r w:rsidRPr="00A77212">
        <w:rPr>
          <w:rStyle w:val="apple-converted-space"/>
          <w:rFonts w:asciiTheme="minorHAnsi" w:hAnsiTheme="minorHAnsi" w:cstheme="minorHAnsi"/>
          <w:b/>
          <w:bCs/>
          <w:color w:val="000000"/>
          <w:sz w:val="22"/>
          <w:szCs w:val="22"/>
        </w:rPr>
        <w:t> </w:t>
      </w:r>
      <w:r w:rsidRPr="00A77212">
        <w:rPr>
          <w:rStyle w:val="citation-450"/>
          <w:rFonts w:asciiTheme="minorHAnsi" w:hAnsiTheme="minorHAnsi" w:cstheme="minorHAnsi"/>
          <w:b/>
          <w:bCs/>
          <w:color w:val="000000"/>
          <w:sz w:val="22"/>
          <w:szCs w:val="22"/>
        </w:rPr>
        <w:t>:</w:t>
      </w:r>
      <w:r w:rsidRPr="00A77212">
        <w:rPr>
          <w:rStyle w:val="citation-450"/>
          <w:rFonts w:asciiTheme="minorHAnsi" w:hAnsiTheme="minorHAnsi" w:cstheme="minorHAnsi"/>
          <w:color w:val="000000"/>
          <w:sz w:val="22"/>
          <w:szCs w:val="22"/>
        </w:rPr>
        <w:t xml:space="preserve"> La</w:t>
      </w:r>
      <w:r w:rsidRPr="00A77212">
        <w:rPr>
          <w:rStyle w:val="apple-converted-space"/>
          <w:rFonts w:asciiTheme="minorHAnsi" w:hAnsiTheme="minorHAnsi" w:cstheme="minorHAnsi"/>
          <w:color w:val="000000"/>
          <w:sz w:val="22"/>
          <w:szCs w:val="22"/>
        </w:rPr>
        <w:t> </w:t>
      </w:r>
      <w:r w:rsidRPr="00A77212">
        <w:rPr>
          <w:rStyle w:val="citation-450"/>
          <w:rFonts w:asciiTheme="minorHAnsi" w:hAnsiTheme="minorHAnsi" w:cstheme="minorHAnsi"/>
          <w:color w:val="000000"/>
          <w:sz w:val="22"/>
          <w:szCs w:val="22"/>
        </w:rPr>
        <w:t>facilité d'utilisation</w:t>
      </w:r>
      <w:r w:rsidRPr="00A77212">
        <w:rPr>
          <w:rStyle w:val="apple-converted-space"/>
          <w:rFonts w:asciiTheme="minorHAnsi" w:hAnsiTheme="minorHAnsi" w:cstheme="minorHAnsi"/>
          <w:color w:val="000000"/>
          <w:sz w:val="22"/>
          <w:szCs w:val="22"/>
        </w:rPr>
        <w:t> </w:t>
      </w:r>
      <w:r w:rsidRPr="00A77212">
        <w:rPr>
          <w:rStyle w:val="citation-450"/>
          <w:rFonts w:asciiTheme="minorHAnsi" w:hAnsiTheme="minorHAnsi" w:cstheme="minorHAnsi"/>
          <w:color w:val="000000"/>
          <w:sz w:val="22"/>
          <w:szCs w:val="22"/>
        </w:rPr>
        <w:t>et l'adaptation aux pathologies</w:t>
      </w:r>
      <w:r w:rsidRPr="00A77212">
        <w:rPr>
          <w:rStyle w:val="apple-converted-space"/>
          <w:rFonts w:asciiTheme="minorHAnsi" w:hAnsiTheme="minorHAnsi" w:cstheme="minorHAnsi"/>
          <w:color w:val="000000"/>
          <w:sz w:val="22"/>
          <w:szCs w:val="22"/>
        </w:rPr>
        <w:t> </w:t>
      </w:r>
      <w:r w:rsidRPr="00A77212">
        <w:rPr>
          <w:rStyle w:val="citation-450"/>
          <w:rFonts w:asciiTheme="minorHAnsi" w:hAnsiTheme="minorHAnsi" w:cstheme="minorHAnsi"/>
          <w:color w:val="000000"/>
          <w:sz w:val="22"/>
          <w:szCs w:val="22"/>
        </w:rPr>
        <w:t>du patient sont les deux raisons majeures influençant le choix des cliniciens</w:t>
      </w:r>
      <w:r w:rsidRPr="00A77212">
        <w:rPr>
          <w:rFonts w:asciiTheme="minorHAnsi" w:hAnsiTheme="minorHAnsi" w:cstheme="minorHAnsi"/>
          <w:color w:val="000000"/>
          <w:sz w:val="22"/>
          <w:szCs w:val="22"/>
        </w:rPr>
        <w:t>.</w:t>
      </w:r>
      <w:r w:rsidRPr="00A77212">
        <w:rPr>
          <w:rStyle w:val="apple-converted-space"/>
          <w:rFonts w:asciiTheme="minorHAnsi" w:hAnsiTheme="minorHAnsi" w:cstheme="minorHAnsi"/>
          <w:color w:val="000000"/>
          <w:sz w:val="22"/>
          <w:szCs w:val="22"/>
        </w:rPr>
        <w:t> </w:t>
      </w:r>
      <w:r w:rsidRPr="00A77212">
        <w:rPr>
          <w:rStyle w:val="citation-449"/>
          <w:rFonts w:asciiTheme="minorHAnsi" w:hAnsiTheme="minorHAnsi" w:cstheme="minorHAnsi"/>
          <w:color w:val="000000"/>
          <w:sz w:val="22"/>
          <w:szCs w:val="22"/>
        </w:rPr>
        <w:t>La recommandation par la formation initiale ou la qualité métrologique des tests apparaissent comme des facteurs</w:t>
      </w:r>
      <w:r w:rsidR="00207558">
        <w:rPr>
          <w:rStyle w:val="citation-449"/>
          <w:rFonts w:asciiTheme="minorHAnsi" w:hAnsiTheme="minorHAnsi" w:cstheme="minorHAnsi"/>
          <w:color w:val="000000"/>
          <w:sz w:val="22"/>
          <w:szCs w:val="22"/>
        </w:rPr>
        <w:t xml:space="preserve"> </w:t>
      </w:r>
      <w:r w:rsidRPr="00207558">
        <w:rPr>
          <w:rStyle w:val="citation-449"/>
          <w:rFonts w:asciiTheme="minorHAnsi" w:hAnsiTheme="minorHAnsi" w:cstheme="minorHAnsi"/>
          <w:color w:val="000000"/>
          <w:sz w:val="22"/>
          <w:szCs w:val="22"/>
        </w:rPr>
        <w:t>secondaires</w:t>
      </w:r>
      <w:r w:rsidRPr="00207558">
        <w:rPr>
          <w:rFonts w:asciiTheme="minorHAnsi" w:hAnsiTheme="minorHAnsi" w:cstheme="minorHAnsi"/>
          <w:color w:val="000000"/>
          <w:sz w:val="22"/>
          <w:szCs w:val="22"/>
        </w:rPr>
        <w:t>.</w:t>
      </w:r>
      <w:r w:rsidR="00207558" w:rsidRPr="00207558">
        <w:rPr>
          <w:rFonts w:ascii="Calibri" w:hAnsi="Calibri" w:cs="Calibri"/>
          <w:noProof/>
          <w:sz w:val="22"/>
          <w:szCs w:val="22"/>
        </w:rPr>
        <w:t xml:space="preserve"> </w:t>
      </w:r>
    </w:p>
    <w:p w14:paraId="7C2E5BBC" w14:textId="1A04FF03" w:rsidR="00271111" w:rsidRPr="00271111" w:rsidRDefault="00271111" w:rsidP="00271111">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t>L’analyse croisée des données entre la fréquence d’utilisation des tests et le temps consacré à l’évaluation de l’équilibre chez une personne âgée vient confirmer le fait que les praticiens qui consacrent le moins de temps à l’évaluation semble être les cliniciens qui optent pour les tests les moins exhaustifs tels que le Single Leg Stance ou encore le Tinetti</w:t>
      </w:r>
      <w:r w:rsidR="00664A41">
        <w:rPr>
          <w:rFonts w:asciiTheme="minorHAnsi" w:hAnsiTheme="minorHAnsi" w:cstheme="minorHAnsi"/>
          <w:color w:val="000000"/>
          <w:sz w:val="22"/>
          <w:szCs w:val="22"/>
        </w:rPr>
        <w:t xml:space="preserve"> (figure 2</w:t>
      </w:r>
      <w:r w:rsidR="00FA419F">
        <w:rPr>
          <w:rFonts w:asciiTheme="minorHAnsi" w:hAnsiTheme="minorHAnsi" w:cstheme="minorHAnsi"/>
          <w:color w:val="000000"/>
          <w:sz w:val="22"/>
          <w:szCs w:val="22"/>
        </w:rPr>
        <w:t>0</w:t>
      </w:r>
      <w:r w:rsidR="00664A41">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p>
    <w:p w14:paraId="543DB7CD" w14:textId="04190B01" w:rsidR="008C100D" w:rsidRDefault="00207558" w:rsidP="00207558">
      <w:pPr>
        <w:pStyle w:val="NormalWeb"/>
        <w:spacing w:line="360" w:lineRule="auto"/>
        <w:ind w:left="720"/>
        <w:jc w:val="both"/>
        <w:rPr>
          <w:rFonts w:asciiTheme="minorHAnsi" w:hAnsiTheme="minorHAnsi" w:cstheme="minorHAnsi"/>
          <w:color w:val="000000"/>
          <w:sz w:val="22"/>
          <w:szCs w:val="22"/>
        </w:rPr>
      </w:pPr>
      <w:r>
        <w:rPr>
          <w:rFonts w:ascii="Calibri" w:hAnsi="Calibri" w:cs="Calibri"/>
          <w:noProof/>
          <w:sz w:val="22"/>
          <w:szCs w:val="22"/>
        </w:rPr>
        <w:lastRenderedPageBreak/>
        <w:drawing>
          <wp:inline distT="0" distB="0" distL="0" distR="0" wp14:anchorId="07583895" wp14:editId="35C8397C">
            <wp:extent cx="5642517" cy="3411855"/>
            <wp:effectExtent l="0" t="0" r="0" b="4445"/>
            <wp:docPr id="1132584254" name="Image 2" descr="Une image contenant texte, lign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84254" name="Image 2" descr="Une image contenant texte, ligne, capture d’écran, conception&#10;&#10;Le contenu généré par l’IA peut êtr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97640" cy="3505653"/>
                    </a:xfrm>
                    <a:prstGeom prst="rect">
                      <a:avLst/>
                    </a:prstGeom>
                  </pic:spPr>
                </pic:pic>
              </a:graphicData>
            </a:graphic>
          </wp:inline>
        </w:drawing>
      </w:r>
    </w:p>
    <w:p w14:paraId="3E9C91AF" w14:textId="051EAC25" w:rsidR="00207558" w:rsidRDefault="00207558" w:rsidP="00207558">
      <w:pPr>
        <w:pStyle w:val="Lgende"/>
        <w:jc w:val="center"/>
        <w:rPr>
          <w:rFonts w:ascii="Calibri" w:hAnsi="Calibri" w:cs="Calibri"/>
          <w:sz w:val="22"/>
          <w:szCs w:val="22"/>
        </w:rPr>
      </w:pPr>
      <w:bookmarkStart w:id="79" w:name="_Toc221441359"/>
      <w:r>
        <w:t xml:space="preserve">Figure </w:t>
      </w:r>
      <w:r>
        <w:fldChar w:fldCharType="begin"/>
      </w:r>
      <w:r>
        <w:instrText xml:space="preserve"> SEQ Figure \* ARABIC </w:instrText>
      </w:r>
      <w:r>
        <w:fldChar w:fldCharType="separate"/>
      </w:r>
      <w:r w:rsidR="00B93EA8">
        <w:rPr>
          <w:noProof/>
        </w:rPr>
        <w:t>20</w:t>
      </w:r>
      <w:r>
        <w:fldChar w:fldCharType="end"/>
      </w:r>
      <w:r>
        <w:t>: Analyse croisée entre le temps d'évaluation et les tests utilisés</w:t>
      </w:r>
      <w:bookmarkEnd w:id="79"/>
    </w:p>
    <w:p w14:paraId="617E1FF3" w14:textId="77777777" w:rsidR="00207558" w:rsidRPr="00A77212" w:rsidRDefault="00207558" w:rsidP="00207558">
      <w:pPr>
        <w:pStyle w:val="NormalWeb"/>
        <w:spacing w:line="360" w:lineRule="auto"/>
        <w:ind w:left="720"/>
        <w:jc w:val="both"/>
        <w:rPr>
          <w:rFonts w:asciiTheme="minorHAnsi" w:hAnsiTheme="minorHAnsi" w:cstheme="minorHAnsi"/>
          <w:color w:val="000000"/>
          <w:sz w:val="22"/>
          <w:szCs w:val="22"/>
        </w:rPr>
      </w:pPr>
    </w:p>
    <w:p w14:paraId="5EC109CA" w14:textId="0CAD9273" w:rsidR="008C100D" w:rsidRPr="00A77212" w:rsidRDefault="008C100D" w:rsidP="00A77212">
      <w:pPr>
        <w:pStyle w:val="Titre3"/>
      </w:pPr>
      <w:bookmarkStart w:id="80" w:name="_Toc221704643"/>
      <w:r w:rsidRPr="00A77212">
        <w:t>Maîtrise du cadre théorique et limites rencontrées</w:t>
      </w:r>
      <w:bookmarkEnd w:id="80"/>
    </w:p>
    <w:p w14:paraId="2EA16DD0" w14:textId="088D91C9"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L'étude met en lumière un écart notable entre les modèles de recherche et la pratique de terrain :</w:t>
      </w:r>
      <w:r w:rsidR="00207558" w:rsidRPr="00207558">
        <w:rPr>
          <w:rFonts w:ascii="Calibri" w:hAnsi="Calibri" w:cs="Calibri"/>
          <w:noProof/>
          <w:sz w:val="22"/>
          <w:szCs w:val="22"/>
        </w:rPr>
        <w:t xml:space="preserve"> </w:t>
      </w:r>
    </w:p>
    <w:p w14:paraId="01FE9FD4" w14:textId="4EDC4706" w:rsidR="008C100D" w:rsidRPr="008D277B" w:rsidRDefault="008C100D" w:rsidP="008D277B">
      <w:pPr>
        <w:pStyle w:val="NormalWeb"/>
        <w:numPr>
          <w:ilvl w:val="0"/>
          <w:numId w:val="29"/>
        </w:numPr>
        <w:spacing w:line="360" w:lineRule="auto"/>
        <w:jc w:val="both"/>
        <w:rPr>
          <w:rFonts w:asciiTheme="minorHAnsi" w:hAnsiTheme="minorHAnsi" w:cstheme="minorHAnsi"/>
          <w:color w:val="000000"/>
          <w:sz w:val="22"/>
          <w:szCs w:val="22"/>
        </w:rPr>
      </w:pPr>
      <w:r w:rsidRPr="008D277B">
        <w:rPr>
          <w:rStyle w:val="citation-448"/>
          <w:rFonts w:asciiTheme="minorHAnsi" w:hAnsiTheme="minorHAnsi" w:cstheme="minorHAnsi"/>
          <w:b/>
          <w:bCs/>
          <w:color w:val="000000"/>
          <w:sz w:val="22"/>
          <w:szCs w:val="22"/>
        </w:rPr>
        <w:t xml:space="preserve">Connaissance du modèle de </w:t>
      </w:r>
      <w:proofErr w:type="spellStart"/>
      <w:r w:rsidRPr="008D277B">
        <w:rPr>
          <w:rStyle w:val="citation-448"/>
          <w:rFonts w:asciiTheme="minorHAnsi" w:hAnsiTheme="minorHAnsi" w:cstheme="minorHAnsi"/>
          <w:b/>
          <w:bCs/>
          <w:color w:val="000000"/>
          <w:sz w:val="22"/>
          <w:szCs w:val="22"/>
        </w:rPr>
        <w:t>Horak</w:t>
      </w:r>
      <w:proofErr w:type="spellEnd"/>
      <w:r w:rsidRPr="008D277B">
        <w:rPr>
          <w:rStyle w:val="apple-converted-space"/>
          <w:rFonts w:asciiTheme="minorHAnsi" w:hAnsiTheme="minorHAnsi" w:cstheme="minorHAnsi"/>
          <w:color w:val="000000"/>
          <w:sz w:val="22"/>
          <w:szCs w:val="22"/>
        </w:rPr>
        <w:t> </w:t>
      </w:r>
      <w:r w:rsidRPr="008D277B">
        <w:rPr>
          <w:rStyle w:val="citation-448"/>
          <w:rFonts w:asciiTheme="minorHAnsi" w:hAnsiTheme="minorHAnsi" w:cstheme="minorHAnsi"/>
          <w:color w:val="000000"/>
          <w:sz w:val="22"/>
          <w:szCs w:val="22"/>
        </w:rPr>
        <w:t>: Près de 9 répondants sur 10 (89,2 %) déclarent ne pas connaître du tout le</w:t>
      </w:r>
      <w:r w:rsidRPr="008D277B">
        <w:rPr>
          <w:rStyle w:val="apple-converted-space"/>
          <w:rFonts w:asciiTheme="minorHAnsi" w:hAnsiTheme="minorHAnsi" w:cstheme="minorHAnsi"/>
          <w:color w:val="000000"/>
          <w:sz w:val="22"/>
          <w:szCs w:val="22"/>
        </w:rPr>
        <w:t> </w:t>
      </w:r>
      <w:proofErr w:type="spellStart"/>
      <w:r w:rsidRPr="008D277B">
        <w:rPr>
          <w:rStyle w:val="citation-448"/>
          <w:rFonts w:asciiTheme="minorHAnsi" w:hAnsiTheme="minorHAnsi" w:cstheme="minorHAnsi"/>
          <w:i/>
          <w:iCs/>
          <w:color w:val="000000"/>
          <w:sz w:val="22"/>
          <w:szCs w:val="22"/>
        </w:rPr>
        <w:t>Systems</w:t>
      </w:r>
      <w:proofErr w:type="spellEnd"/>
      <w:r w:rsidRPr="008D277B">
        <w:rPr>
          <w:rStyle w:val="citation-448"/>
          <w:rFonts w:asciiTheme="minorHAnsi" w:hAnsiTheme="minorHAnsi" w:cstheme="minorHAnsi"/>
          <w:i/>
          <w:iCs/>
          <w:color w:val="000000"/>
          <w:sz w:val="22"/>
          <w:szCs w:val="22"/>
        </w:rPr>
        <w:t xml:space="preserve"> Framework for Postural Control</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47"/>
          <w:rFonts w:asciiTheme="minorHAnsi" w:hAnsiTheme="minorHAnsi" w:cstheme="minorHAnsi"/>
          <w:color w:val="000000"/>
          <w:sz w:val="22"/>
          <w:szCs w:val="22"/>
        </w:rPr>
        <w:t>En corrélation, l'évaluation conjointe des neuf sous-composantes de l'équilibre est jugée rare ou occasionnelle par la majorité des participants</w:t>
      </w:r>
      <w:r w:rsidRPr="008D277B">
        <w:rPr>
          <w:rFonts w:asciiTheme="minorHAnsi" w:hAnsiTheme="minorHAnsi" w:cstheme="minorHAnsi"/>
          <w:color w:val="000000"/>
          <w:sz w:val="22"/>
          <w:szCs w:val="22"/>
        </w:rPr>
        <w:t>.</w:t>
      </w:r>
      <w:r w:rsidR="00207558" w:rsidRPr="00207558">
        <w:rPr>
          <w:rFonts w:ascii="Calibri" w:hAnsi="Calibri" w:cs="Calibri"/>
          <w:noProof/>
          <w:sz w:val="22"/>
          <w:szCs w:val="22"/>
        </w:rPr>
        <w:t xml:space="preserve"> </w:t>
      </w:r>
    </w:p>
    <w:p w14:paraId="3915C6CA" w14:textId="667D9BA0" w:rsidR="00207558" w:rsidRPr="00271111" w:rsidRDefault="008C100D" w:rsidP="00271111">
      <w:pPr>
        <w:pStyle w:val="NormalWeb"/>
        <w:numPr>
          <w:ilvl w:val="0"/>
          <w:numId w:val="29"/>
        </w:numPr>
        <w:spacing w:line="360" w:lineRule="auto"/>
        <w:jc w:val="both"/>
        <w:rPr>
          <w:rFonts w:asciiTheme="minorHAnsi" w:hAnsiTheme="minorHAnsi" w:cstheme="minorHAnsi"/>
          <w:color w:val="000000"/>
          <w:sz w:val="22"/>
          <w:szCs w:val="22"/>
        </w:rPr>
      </w:pPr>
      <w:r w:rsidRPr="008D277B">
        <w:rPr>
          <w:rStyle w:val="citation-446"/>
          <w:rFonts w:asciiTheme="minorHAnsi" w:hAnsiTheme="minorHAnsi" w:cstheme="minorHAnsi"/>
          <w:b/>
          <w:bCs/>
          <w:color w:val="000000"/>
          <w:sz w:val="22"/>
          <w:szCs w:val="22"/>
        </w:rPr>
        <w:t>Freins à l'exhaustivité</w:t>
      </w:r>
      <w:r w:rsidRPr="008D277B">
        <w:rPr>
          <w:rStyle w:val="apple-converted-space"/>
          <w:rFonts w:asciiTheme="minorHAnsi" w:hAnsiTheme="minorHAnsi" w:cstheme="minorHAnsi"/>
          <w:color w:val="000000"/>
          <w:sz w:val="22"/>
          <w:szCs w:val="22"/>
        </w:rPr>
        <w:t> </w:t>
      </w:r>
      <w:r w:rsidRPr="008D277B">
        <w:rPr>
          <w:rStyle w:val="citation-446"/>
          <w:rFonts w:asciiTheme="minorHAnsi" w:hAnsiTheme="minorHAnsi" w:cstheme="minorHAnsi"/>
          <w:color w:val="000000"/>
          <w:sz w:val="22"/>
          <w:szCs w:val="22"/>
        </w:rPr>
        <w:t>: Pour 56,8 % des MK, le</w:t>
      </w:r>
      <w:r w:rsidRPr="008D277B">
        <w:rPr>
          <w:rStyle w:val="apple-converted-space"/>
          <w:rFonts w:asciiTheme="minorHAnsi" w:hAnsiTheme="minorHAnsi" w:cstheme="minorHAnsi"/>
          <w:color w:val="000000"/>
          <w:sz w:val="22"/>
          <w:szCs w:val="22"/>
        </w:rPr>
        <w:t> </w:t>
      </w:r>
      <w:r w:rsidRPr="00A77212">
        <w:rPr>
          <w:rStyle w:val="citation-446"/>
          <w:rFonts w:asciiTheme="minorHAnsi" w:hAnsiTheme="minorHAnsi" w:cstheme="minorHAnsi"/>
          <w:color w:val="000000"/>
          <w:sz w:val="22"/>
          <w:szCs w:val="22"/>
        </w:rPr>
        <w:t>manque de temps</w:t>
      </w:r>
      <w:r w:rsidRPr="008D277B">
        <w:rPr>
          <w:rStyle w:val="apple-converted-space"/>
          <w:rFonts w:asciiTheme="minorHAnsi" w:hAnsiTheme="minorHAnsi" w:cstheme="minorHAnsi"/>
          <w:color w:val="000000"/>
          <w:sz w:val="22"/>
          <w:szCs w:val="22"/>
        </w:rPr>
        <w:t> </w:t>
      </w:r>
      <w:r w:rsidRPr="008D277B">
        <w:rPr>
          <w:rStyle w:val="citation-446"/>
          <w:rFonts w:asciiTheme="minorHAnsi" w:hAnsiTheme="minorHAnsi" w:cstheme="minorHAnsi"/>
          <w:color w:val="000000"/>
          <w:sz w:val="22"/>
          <w:szCs w:val="22"/>
        </w:rPr>
        <w:t xml:space="preserve">constitue l'obstacle principal à une évaluation </w:t>
      </w:r>
      <w:r w:rsidRPr="00A77212">
        <w:rPr>
          <w:rStyle w:val="citation-446"/>
          <w:rFonts w:asciiTheme="minorHAnsi" w:hAnsiTheme="minorHAnsi" w:cstheme="minorHAnsi"/>
          <w:color w:val="000000"/>
          <w:sz w:val="22"/>
          <w:szCs w:val="22"/>
        </w:rPr>
        <w:t>complète</w:t>
      </w:r>
      <w:r w:rsidRPr="00A77212">
        <w:rPr>
          <w:rFonts w:asciiTheme="minorHAnsi" w:hAnsiTheme="minorHAnsi" w:cstheme="minorHAnsi"/>
          <w:color w:val="000000"/>
          <w:sz w:val="22"/>
          <w:szCs w:val="22"/>
        </w:rPr>
        <w:t>.</w:t>
      </w:r>
      <w:r w:rsidRPr="00A77212">
        <w:rPr>
          <w:rStyle w:val="apple-converted-space"/>
          <w:rFonts w:asciiTheme="minorHAnsi" w:hAnsiTheme="minorHAnsi" w:cstheme="minorHAnsi"/>
          <w:color w:val="000000"/>
          <w:sz w:val="22"/>
          <w:szCs w:val="22"/>
        </w:rPr>
        <w:t> </w:t>
      </w:r>
      <w:r w:rsidRPr="00A77212">
        <w:rPr>
          <w:rStyle w:val="citation-445"/>
          <w:rFonts w:asciiTheme="minorHAnsi" w:hAnsiTheme="minorHAnsi" w:cstheme="minorHAnsi"/>
          <w:color w:val="000000"/>
          <w:sz w:val="22"/>
          <w:szCs w:val="22"/>
        </w:rPr>
        <w:t>La</w:t>
      </w:r>
      <w:r w:rsidRPr="00A77212">
        <w:rPr>
          <w:rStyle w:val="apple-converted-space"/>
          <w:rFonts w:asciiTheme="minorHAnsi" w:hAnsiTheme="minorHAnsi" w:cstheme="minorHAnsi"/>
          <w:color w:val="000000"/>
          <w:sz w:val="22"/>
          <w:szCs w:val="22"/>
        </w:rPr>
        <w:t> </w:t>
      </w:r>
      <w:r w:rsidRPr="00A77212">
        <w:rPr>
          <w:rStyle w:val="citation-445"/>
          <w:rFonts w:asciiTheme="minorHAnsi" w:hAnsiTheme="minorHAnsi" w:cstheme="minorHAnsi"/>
          <w:color w:val="000000"/>
          <w:sz w:val="22"/>
          <w:szCs w:val="22"/>
        </w:rPr>
        <w:t>difficulté à sélectionner le test approprié</w:t>
      </w:r>
      <w:r w:rsidRPr="00A77212">
        <w:rPr>
          <w:rStyle w:val="apple-converted-space"/>
          <w:rFonts w:asciiTheme="minorHAnsi" w:hAnsiTheme="minorHAnsi" w:cstheme="minorHAnsi"/>
          <w:color w:val="000000"/>
          <w:sz w:val="22"/>
          <w:szCs w:val="22"/>
        </w:rPr>
        <w:t> </w:t>
      </w:r>
      <w:r w:rsidRPr="00A77212">
        <w:rPr>
          <w:rStyle w:val="citation-445"/>
          <w:rFonts w:asciiTheme="minorHAnsi" w:hAnsiTheme="minorHAnsi" w:cstheme="minorHAnsi"/>
          <w:color w:val="000000"/>
          <w:sz w:val="22"/>
          <w:szCs w:val="22"/>
        </w:rPr>
        <w:t>(45,9 %) et le</w:t>
      </w:r>
      <w:r w:rsidRPr="00A77212">
        <w:rPr>
          <w:rStyle w:val="apple-converted-space"/>
          <w:rFonts w:asciiTheme="minorHAnsi" w:hAnsiTheme="minorHAnsi" w:cstheme="minorHAnsi"/>
          <w:color w:val="000000"/>
          <w:sz w:val="22"/>
          <w:szCs w:val="22"/>
        </w:rPr>
        <w:t> </w:t>
      </w:r>
      <w:r w:rsidRPr="00A77212">
        <w:rPr>
          <w:rStyle w:val="citation-445"/>
          <w:rFonts w:asciiTheme="minorHAnsi" w:hAnsiTheme="minorHAnsi" w:cstheme="minorHAnsi"/>
          <w:color w:val="000000"/>
          <w:sz w:val="22"/>
          <w:szCs w:val="22"/>
        </w:rPr>
        <w:t>manque de formation spécifique</w:t>
      </w:r>
      <w:r w:rsidRPr="00A77212">
        <w:rPr>
          <w:rStyle w:val="apple-converted-space"/>
          <w:rFonts w:asciiTheme="minorHAnsi" w:hAnsiTheme="minorHAnsi" w:cstheme="minorHAnsi"/>
          <w:color w:val="000000"/>
          <w:sz w:val="22"/>
          <w:szCs w:val="22"/>
        </w:rPr>
        <w:t> </w:t>
      </w:r>
      <w:r w:rsidRPr="00A77212">
        <w:rPr>
          <w:rStyle w:val="citation-445"/>
          <w:rFonts w:asciiTheme="minorHAnsi" w:hAnsiTheme="minorHAnsi" w:cstheme="minorHAnsi"/>
          <w:color w:val="000000"/>
          <w:sz w:val="22"/>
          <w:szCs w:val="22"/>
        </w:rPr>
        <w:t>(</w:t>
      </w:r>
      <w:r w:rsidRPr="008D277B">
        <w:rPr>
          <w:rStyle w:val="citation-445"/>
          <w:rFonts w:asciiTheme="minorHAnsi" w:hAnsiTheme="minorHAnsi" w:cstheme="minorHAnsi"/>
          <w:color w:val="000000"/>
          <w:sz w:val="22"/>
          <w:szCs w:val="22"/>
        </w:rPr>
        <w:t>43,2 %) sont également cités comme des freins majeurs</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44"/>
          <w:rFonts w:asciiTheme="minorHAnsi" w:hAnsiTheme="minorHAnsi" w:cstheme="minorHAnsi"/>
          <w:color w:val="000000"/>
          <w:sz w:val="22"/>
          <w:szCs w:val="22"/>
        </w:rPr>
        <w:t>En revanche, le manque de matériel (29,7 %) ou d'espace (13,5 %) semble moins impactant</w:t>
      </w:r>
      <w:r w:rsidRPr="008D277B">
        <w:rPr>
          <w:rFonts w:asciiTheme="minorHAnsi" w:hAnsiTheme="minorHAnsi" w:cstheme="minorHAnsi"/>
          <w:color w:val="000000"/>
          <w:sz w:val="22"/>
          <w:szCs w:val="22"/>
        </w:rPr>
        <w:t>.</w:t>
      </w:r>
      <w:r w:rsidR="008D277B" w:rsidRPr="008D277B">
        <w:rPr>
          <w:rFonts w:ascii="Calibri" w:hAnsi="Calibri" w:cs="Calibri"/>
          <w:noProof/>
          <w:sz w:val="22"/>
          <w:szCs w:val="22"/>
        </w:rPr>
        <w:t xml:space="preserve"> </w:t>
      </w:r>
    </w:p>
    <w:p w14:paraId="42C3D2AC" w14:textId="0B0152A3" w:rsidR="008C100D" w:rsidRPr="00207558" w:rsidRDefault="008C100D" w:rsidP="00207558">
      <w:pPr>
        <w:pStyle w:val="Titre3"/>
      </w:pPr>
      <w:bookmarkStart w:id="81" w:name="_Toc221704644"/>
      <w:r w:rsidRPr="00207558">
        <w:t>État des lieux de la formation et besoins exprimés</w:t>
      </w:r>
      <w:bookmarkEnd w:id="81"/>
    </w:p>
    <w:p w14:paraId="6D75D677"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La formation apparaît comme le levier principal d'évolution des pratiques :</w:t>
      </w:r>
    </w:p>
    <w:p w14:paraId="5CB18618" w14:textId="4C9B91FC" w:rsidR="008C100D" w:rsidRPr="008D277B" w:rsidRDefault="008C100D" w:rsidP="008D277B">
      <w:pPr>
        <w:pStyle w:val="NormalWeb"/>
        <w:numPr>
          <w:ilvl w:val="0"/>
          <w:numId w:val="30"/>
        </w:numPr>
        <w:spacing w:line="360" w:lineRule="auto"/>
        <w:jc w:val="both"/>
        <w:rPr>
          <w:rFonts w:asciiTheme="minorHAnsi" w:hAnsiTheme="minorHAnsi" w:cstheme="minorHAnsi"/>
          <w:color w:val="000000"/>
          <w:sz w:val="22"/>
          <w:szCs w:val="22"/>
        </w:rPr>
      </w:pPr>
      <w:r w:rsidRPr="008D277B">
        <w:rPr>
          <w:rStyle w:val="citation-443"/>
          <w:rFonts w:asciiTheme="minorHAnsi" w:hAnsiTheme="minorHAnsi" w:cstheme="minorHAnsi"/>
          <w:b/>
          <w:bCs/>
          <w:color w:val="000000"/>
          <w:sz w:val="22"/>
          <w:szCs w:val="22"/>
        </w:rPr>
        <w:lastRenderedPageBreak/>
        <w:t>Parcours de formation</w:t>
      </w:r>
      <w:r w:rsidRPr="008D277B">
        <w:rPr>
          <w:rStyle w:val="apple-converted-space"/>
          <w:rFonts w:asciiTheme="minorHAnsi" w:hAnsiTheme="minorHAnsi" w:cstheme="minorHAnsi"/>
          <w:color w:val="000000"/>
          <w:sz w:val="22"/>
          <w:szCs w:val="22"/>
        </w:rPr>
        <w:t> </w:t>
      </w:r>
      <w:r w:rsidRPr="008D277B">
        <w:rPr>
          <w:rStyle w:val="citation-443"/>
          <w:rFonts w:asciiTheme="minorHAnsi" w:hAnsiTheme="minorHAnsi" w:cstheme="minorHAnsi"/>
          <w:color w:val="000000"/>
          <w:sz w:val="22"/>
          <w:szCs w:val="22"/>
        </w:rPr>
        <w:t>: Seuls 32,4 % des praticiens ont bénéficié d'une formation spécifique durant leur cursus initial</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442"/>
          <w:rFonts w:asciiTheme="minorHAnsi" w:hAnsiTheme="minorHAnsi" w:cstheme="minorHAnsi"/>
          <w:color w:val="000000"/>
          <w:sz w:val="22"/>
          <w:szCs w:val="22"/>
        </w:rPr>
        <w:t>Une proportion identique (32,4 %) n'a reçu aucune formation mais exprime un intérêt pour ce domaine</w:t>
      </w:r>
      <w:r w:rsidRPr="008D277B">
        <w:rPr>
          <w:rFonts w:asciiTheme="minorHAnsi" w:hAnsiTheme="minorHAnsi" w:cstheme="minorHAnsi"/>
          <w:color w:val="000000"/>
          <w:sz w:val="22"/>
          <w:szCs w:val="22"/>
        </w:rPr>
        <w:t>.</w:t>
      </w:r>
    </w:p>
    <w:p w14:paraId="21723218" w14:textId="77777777" w:rsidR="008C100D" w:rsidRPr="00207558" w:rsidRDefault="008C100D" w:rsidP="008D277B">
      <w:pPr>
        <w:pStyle w:val="NormalWeb"/>
        <w:numPr>
          <w:ilvl w:val="0"/>
          <w:numId w:val="30"/>
        </w:numPr>
        <w:spacing w:line="360" w:lineRule="auto"/>
        <w:jc w:val="both"/>
        <w:rPr>
          <w:rFonts w:asciiTheme="minorHAnsi" w:hAnsiTheme="minorHAnsi" w:cstheme="minorHAnsi"/>
          <w:color w:val="000000"/>
          <w:sz w:val="22"/>
          <w:szCs w:val="22"/>
        </w:rPr>
      </w:pPr>
      <w:r w:rsidRPr="008D277B">
        <w:rPr>
          <w:rStyle w:val="citation-441"/>
          <w:rFonts w:asciiTheme="minorHAnsi" w:hAnsiTheme="minorHAnsi" w:cstheme="minorHAnsi"/>
          <w:b/>
          <w:bCs/>
          <w:color w:val="000000"/>
          <w:sz w:val="22"/>
          <w:szCs w:val="22"/>
        </w:rPr>
        <w:t>Perspectives</w:t>
      </w:r>
      <w:r w:rsidRPr="008D277B">
        <w:rPr>
          <w:rStyle w:val="apple-converted-space"/>
          <w:rFonts w:asciiTheme="minorHAnsi" w:hAnsiTheme="minorHAnsi" w:cstheme="minorHAnsi"/>
          <w:color w:val="000000"/>
          <w:sz w:val="22"/>
          <w:szCs w:val="22"/>
        </w:rPr>
        <w:t> </w:t>
      </w:r>
      <w:r w:rsidRPr="008D277B">
        <w:rPr>
          <w:rStyle w:val="citation-441"/>
          <w:rFonts w:asciiTheme="minorHAnsi" w:hAnsiTheme="minorHAnsi" w:cstheme="minorHAnsi"/>
          <w:color w:val="000000"/>
          <w:sz w:val="22"/>
          <w:szCs w:val="22"/>
        </w:rPr>
        <w:t>: L'adhésion pour une formation complémentaire est massive :</w:t>
      </w:r>
      <w:r w:rsidRPr="008D277B">
        <w:rPr>
          <w:rStyle w:val="apple-converted-space"/>
          <w:rFonts w:asciiTheme="minorHAnsi" w:hAnsiTheme="minorHAnsi" w:cstheme="minorHAnsi"/>
          <w:color w:val="000000"/>
          <w:sz w:val="22"/>
          <w:szCs w:val="22"/>
        </w:rPr>
        <w:t> </w:t>
      </w:r>
      <w:r w:rsidRPr="00207558">
        <w:rPr>
          <w:rStyle w:val="citation-441"/>
          <w:rFonts w:asciiTheme="minorHAnsi" w:hAnsiTheme="minorHAnsi" w:cstheme="minorHAnsi"/>
          <w:color w:val="000000"/>
          <w:sz w:val="22"/>
          <w:szCs w:val="22"/>
        </w:rPr>
        <w:t>83,8 % des répondants</w:t>
      </w:r>
      <w:r w:rsidRPr="00207558">
        <w:rPr>
          <w:rStyle w:val="apple-converted-space"/>
          <w:rFonts w:asciiTheme="minorHAnsi" w:hAnsiTheme="minorHAnsi" w:cstheme="minorHAnsi"/>
          <w:color w:val="000000"/>
          <w:sz w:val="22"/>
          <w:szCs w:val="22"/>
        </w:rPr>
        <w:t> </w:t>
      </w:r>
      <w:r w:rsidRPr="00207558">
        <w:rPr>
          <w:rStyle w:val="citation-441"/>
          <w:rFonts w:asciiTheme="minorHAnsi" w:hAnsiTheme="minorHAnsi" w:cstheme="minorHAnsi"/>
          <w:color w:val="000000"/>
          <w:sz w:val="22"/>
          <w:szCs w:val="22"/>
        </w:rPr>
        <w:t>se disent « plutôt » ou « très intéressés »</w:t>
      </w:r>
      <w:r w:rsidRPr="00207558">
        <w:rPr>
          <w:rFonts w:asciiTheme="minorHAnsi" w:hAnsiTheme="minorHAnsi" w:cstheme="minorHAnsi"/>
          <w:color w:val="000000"/>
          <w:sz w:val="22"/>
          <w:szCs w:val="22"/>
        </w:rPr>
        <w:t>.</w:t>
      </w:r>
    </w:p>
    <w:p w14:paraId="73455F65" w14:textId="0A864B92" w:rsidR="00AE7882" w:rsidRDefault="008C100D" w:rsidP="00AE7882">
      <w:pPr>
        <w:pStyle w:val="NormalWeb"/>
        <w:numPr>
          <w:ilvl w:val="0"/>
          <w:numId w:val="30"/>
        </w:numPr>
        <w:spacing w:line="360" w:lineRule="auto"/>
        <w:jc w:val="both"/>
        <w:rPr>
          <w:rFonts w:asciiTheme="minorHAnsi" w:hAnsiTheme="minorHAnsi" w:cstheme="minorHAnsi"/>
          <w:color w:val="000000"/>
          <w:sz w:val="22"/>
          <w:szCs w:val="22"/>
        </w:rPr>
      </w:pPr>
      <w:r w:rsidRPr="008D277B">
        <w:rPr>
          <w:rStyle w:val="citation-440"/>
          <w:rFonts w:asciiTheme="minorHAnsi" w:hAnsiTheme="minorHAnsi" w:cstheme="minorHAnsi"/>
          <w:b/>
          <w:bCs/>
          <w:color w:val="000000"/>
          <w:sz w:val="22"/>
          <w:szCs w:val="22"/>
        </w:rPr>
        <w:t>Thématiques de prédilection</w:t>
      </w:r>
      <w:r w:rsidRPr="008D277B">
        <w:rPr>
          <w:rStyle w:val="apple-converted-space"/>
          <w:rFonts w:asciiTheme="minorHAnsi" w:hAnsiTheme="minorHAnsi" w:cstheme="minorHAnsi"/>
          <w:color w:val="000000"/>
          <w:sz w:val="22"/>
          <w:szCs w:val="22"/>
        </w:rPr>
        <w:t> </w:t>
      </w:r>
      <w:r w:rsidRPr="008D277B">
        <w:rPr>
          <w:rStyle w:val="citation-440"/>
          <w:rFonts w:asciiTheme="minorHAnsi" w:hAnsiTheme="minorHAnsi" w:cstheme="minorHAnsi"/>
          <w:color w:val="000000"/>
          <w:sz w:val="22"/>
          <w:szCs w:val="22"/>
        </w:rPr>
        <w:t>: Les kinésithérapeutes souhaitent prioritairement approfondir l'évaluation de la</w:t>
      </w:r>
      <w:r w:rsidRPr="008D277B">
        <w:rPr>
          <w:rStyle w:val="apple-converted-space"/>
          <w:rFonts w:asciiTheme="minorHAnsi" w:hAnsiTheme="minorHAnsi" w:cstheme="minorHAnsi"/>
          <w:color w:val="000000"/>
          <w:sz w:val="22"/>
          <w:szCs w:val="22"/>
        </w:rPr>
        <w:t> </w:t>
      </w:r>
      <w:r w:rsidRPr="00207558">
        <w:rPr>
          <w:rStyle w:val="citation-440"/>
          <w:rFonts w:asciiTheme="minorHAnsi" w:hAnsiTheme="minorHAnsi" w:cstheme="minorHAnsi"/>
          <w:color w:val="000000"/>
          <w:sz w:val="22"/>
          <w:szCs w:val="22"/>
        </w:rPr>
        <w:t>stabilité dynamique, du</w:t>
      </w:r>
      <w:r w:rsidRPr="00207558">
        <w:rPr>
          <w:rStyle w:val="apple-converted-space"/>
          <w:rFonts w:asciiTheme="minorHAnsi" w:hAnsiTheme="minorHAnsi" w:cstheme="minorHAnsi"/>
          <w:color w:val="000000"/>
          <w:sz w:val="22"/>
          <w:szCs w:val="22"/>
        </w:rPr>
        <w:t> </w:t>
      </w:r>
      <w:r w:rsidRPr="00207558">
        <w:rPr>
          <w:rStyle w:val="citation-440"/>
          <w:rFonts w:asciiTheme="minorHAnsi" w:hAnsiTheme="minorHAnsi" w:cstheme="minorHAnsi"/>
          <w:color w:val="000000"/>
          <w:sz w:val="22"/>
          <w:szCs w:val="22"/>
        </w:rPr>
        <w:t>contrôle postural réactif</w:t>
      </w:r>
      <w:r w:rsidRPr="00207558">
        <w:rPr>
          <w:rStyle w:val="apple-converted-space"/>
          <w:rFonts w:asciiTheme="minorHAnsi" w:hAnsiTheme="minorHAnsi" w:cstheme="minorHAnsi"/>
          <w:color w:val="000000"/>
          <w:sz w:val="22"/>
          <w:szCs w:val="22"/>
        </w:rPr>
        <w:t> </w:t>
      </w:r>
      <w:r w:rsidRPr="00207558">
        <w:rPr>
          <w:rStyle w:val="citation-440"/>
          <w:rFonts w:asciiTheme="minorHAnsi" w:hAnsiTheme="minorHAnsi" w:cstheme="minorHAnsi"/>
          <w:color w:val="000000"/>
          <w:sz w:val="22"/>
          <w:szCs w:val="22"/>
        </w:rPr>
        <w:t>et l'interprétation des résultats cliniques</w:t>
      </w:r>
      <w:r w:rsidRPr="00207558">
        <w:rPr>
          <w:rStyle w:val="apple-converted-space"/>
          <w:rFonts w:asciiTheme="minorHAnsi" w:hAnsiTheme="minorHAnsi" w:cstheme="minorHAnsi"/>
          <w:color w:val="000000"/>
          <w:sz w:val="22"/>
          <w:szCs w:val="22"/>
        </w:rPr>
        <w:t> </w:t>
      </w:r>
      <w:r w:rsidRPr="00207558">
        <w:rPr>
          <w:rStyle w:val="citation-440"/>
          <w:rFonts w:asciiTheme="minorHAnsi" w:hAnsiTheme="minorHAnsi" w:cstheme="minorHAnsi"/>
          <w:color w:val="000000"/>
          <w:sz w:val="22"/>
          <w:szCs w:val="22"/>
        </w:rPr>
        <w:t>pour optimiser</w:t>
      </w:r>
      <w:r w:rsidRPr="008D277B">
        <w:rPr>
          <w:rStyle w:val="citation-440"/>
          <w:rFonts w:asciiTheme="minorHAnsi" w:hAnsiTheme="minorHAnsi" w:cstheme="minorHAnsi"/>
          <w:color w:val="000000"/>
          <w:sz w:val="22"/>
          <w:szCs w:val="22"/>
        </w:rPr>
        <w:t xml:space="preserve"> leur prise en charge</w:t>
      </w:r>
      <w:r w:rsidRPr="008D277B">
        <w:rPr>
          <w:rFonts w:asciiTheme="minorHAnsi" w:hAnsiTheme="minorHAnsi" w:cstheme="minorHAnsi"/>
          <w:color w:val="000000"/>
          <w:sz w:val="22"/>
          <w:szCs w:val="22"/>
        </w:rPr>
        <w:t>.</w:t>
      </w:r>
    </w:p>
    <w:p w14:paraId="778C3435" w14:textId="77777777" w:rsidR="00AE7882" w:rsidRPr="00AE7882" w:rsidRDefault="00AE7882" w:rsidP="00AE7882">
      <w:pPr>
        <w:pStyle w:val="NormalWeb"/>
        <w:spacing w:line="360" w:lineRule="auto"/>
        <w:ind w:left="720"/>
        <w:jc w:val="both"/>
        <w:rPr>
          <w:rFonts w:asciiTheme="minorHAnsi" w:hAnsiTheme="minorHAnsi" w:cstheme="minorHAnsi"/>
          <w:color w:val="000000"/>
          <w:sz w:val="22"/>
          <w:szCs w:val="22"/>
        </w:rPr>
      </w:pPr>
    </w:p>
    <w:p w14:paraId="7C7FF6B1" w14:textId="505AD3B3" w:rsidR="00F93D52" w:rsidRDefault="00F93D52" w:rsidP="00F93D52">
      <w:pPr>
        <w:pStyle w:val="Titre2"/>
        <w:spacing w:line="360" w:lineRule="auto"/>
        <w:jc w:val="both"/>
      </w:pPr>
      <w:bookmarkStart w:id="82" w:name="_Toc221704645"/>
      <w:r>
        <w:t>Confrontations avec la littérature</w:t>
      </w:r>
      <w:bookmarkEnd w:id="82"/>
      <w:r>
        <w:t xml:space="preserve"> </w:t>
      </w:r>
    </w:p>
    <w:p w14:paraId="3413E8B8" w14:textId="533E04FB" w:rsidR="00F93D52" w:rsidRDefault="00F93D52" w:rsidP="00F93D52">
      <w:pPr>
        <w:spacing w:line="360" w:lineRule="auto"/>
        <w:jc w:val="both"/>
      </w:pPr>
      <w:r>
        <w:tab/>
        <w:t>L’analyse des résultats a mis en valeur une pratique centrée sur l’efficience temporelle. Il est nécessaire de comparer ces résultats avec la littérature existante afin d’en comprendre les enjeux cliniques.</w:t>
      </w:r>
    </w:p>
    <w:p w14:paraId="4254EA7E" w14:textId="4DE5592F" w:rsidR="00FA419F" w:rsidRDefault="00FA419F" w:rsidP="00FA419F">
      <w:pPr>
        <w:pStyle w:val="Titre3"/>
      </w:pPr>
      <w:bookmarkStart w:id="83" w:name="_Toc221704646"/>
      <w:r>
        <w:t>Idéal théorique versus réalité clinique</w:t>
      </w:r>
      <w:bookmarkEnd w:id="83"/>
      <w:r>
        <w:t xml:space="preserve"> </w:t>
      </w:r>
    </w:p>
    <w:p w14:paraId="30A2C0D3" w14:textId="77777777" w:rsidR="00FA419F" w:rsidRPr="00FA419F" w:rsidRDefault="00FA419F" w:rsidP="00FA419F">
      <w:pPr>
        <w:pStyle w:val="NormalWeb"/>
        <w:spacing w:line="360" w:lineRule="auto"/>
        <w:jc w:val="both"/>
        <w:rPr>
          <w:rFonts w:asciiTheme="minorHAnsi" w:hAnsiTheme="minorHAnsi" w:cstheme="minorHAnsi"/>
          <w:color w:val="000000"/>
          <w:sz w:val="22"/>
          <w:szCs w:val="22"/>
        </w:rPr>
      </w:pPr>
      <w:r w:rsidRPr="00FA419F">
        <w:rPr>
          <w:rFonts w:asciiTheme="minorHAnsi" w:hAnsiTheme="minorHAnsi" w:cstheme="minorHAnsi"/>
          <w:color w:val="000000"/>
          <w:sz w:val="22"/>
          <w:szCs w:val="22"/>
        </w:rPr>
        <w:t xml:space="preserve">Dans son travail de thèse portant sur l'état des lieux des pratiques évaluatives en </w:t>
      </w:r>
      <w:proofErr w:type="spellStart"/>
      <w:r w:rsidRPr="00FA419F">
        <w:rPr>
          <w:rFonts w:asciiTheme="minorHAnsi" w:hAnsiTheme="minorHAnsi" w:cstheme="minorHAnsi"/>
          <w:color w:val="000000"/>
          <w:sz w:val="22"/>
          <w:szCs w:val="22"/>
        </w:rPr>
        <w:t>masso</w:t>
      </w:r>
      <w:proofErr w:type="spellEnd"/>
      <w:r w:rsidRPr="00FA419F">
        <w:rPr>
          <w:rFonts w:asciiTheme="minorHAnsi" w:hAnsiTheme="minorHAnsi" w:cstheme="minorHAnsi"/>
          <w:color w:val="000000"/>
          <w:sz w:val="22"/>
          <w:szCs w:val="22"/>
        </w:rPr>
        <w:t>-kinésithérapie pour la maladie de Parkinson,</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Romain Pichon (2023)</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met en évidence une hétérogénéité dans le choix des tests, tout en identifiant des standards récurrents dans la littérature.</w:t>
      </w:r>
    </w:p>
    <w:p w14:paraId="6ECC3C4F" w14:textId="77777777" w:rsidR="00FA419F" w:rsidRPr="00FA419F" w:rsidRDefault="00FA419F" w:rsidP="00FA419F">
      <w:pPr>
        <w:pStyle w:val="NormalWeb"/>
        <w:spacing w:line="360" w:lineRule="auto"/>
        <w:jc w:val="both"/>
        <w:rPr>
          <w:rFonts w:asciiTheme="minorHAnsi" w:hAnsiTheme="minorHAnsi" w:cstheme="minorHAnsi"/>
          <w:color w:val="000000"/>
          <w:sz w:val="22"/>
          <w:szCs w:val="22"/>
        </w:rPr>
      </w:pPr>
      <w:r w:rsidRPr="00FA419F">
        <w:rPr>
          <w:rFonts w:asciiTheme="minorHAnsi" w:hAnsiTheme="minorHAnsi" w:cstheme="minorHAnsi"/>
          <w:color w:val="000000"/>
          <w:sz w:val="22"/>
          <w:szCs w:val="22"/>
        </w:rPr>
        <w:t>Ses recherches révèlent que certains tests se distinguent par leur fréquence d'utilisation et leur robustesse scientifique :</w:t>
      </w:r>
    </w:p>
    <w:p w14:paraId="2C32A4DA" w14:textId="77777777" w:rsidR="00FA419F" w:rsidRPr="00FA419F" w:rsidRDefault="00FA419F" w:rsidP="00FA419F">
      <w:pPr>
        <w:pStyle w:val="NormalWeb"/>
        <w:numPr>
          <w:ilvl w:val="0"/>
          <w:numId w:val="35"/>
        </w:numPr>
        <w:spacing w:line="360" w:lineRule="auto"/>
        <w:jc w:val="both"/>
        <w:rPr>
          <w:rFonts w:asciiTheme="minorHAnsi" w:hAnsiTheme="minorHAnsi" w:cstheme="minorHAnsi"/>
          <w:color w:val="000000"/>
          <w:sz w:val="22"/>
          <w:szCs w:val="22"/>
        </w:rPr>
      </w:pPr>
      <w:r w:rsidRPr="00FA419F">
        <w:rPr>
          <w:rFonts w:asciiTheme="minorHAnsi" w:hAnsiTheme="minorHAnsi" w:cstheme="minorHAnsi"/>
          <w:b/>
          <w:bCs/>
          <w:color w:val="000000"/>
          <w:sz w:val="22"/>
          <w:szCs w:val="22"/>
        </w:rPr>
        <w:t xml:space="preserve">Le </w:t>
      </w:r>
      <w:proofErr w:type="spellStart"/>
      <w:r w:rsidRPr="00FA419F">
        <w:rPr>
          <w:rFonts w:asciiTheme="minorHAnsi" w:hAnsiTheme="minorHAnsi" w:cstheme="minorHAnsi"/>
          <w:b/>
          <w:bCs/>
          <w:color w:val="000000"/>
          <w:sz w:val="22"/>
          <w:szCs w:val="22"/>
        </w:rPr>
        <w:t>Timed</w:t>
      </w:r>
      <w:proofErr w:type="spellEnd"/>
      <w:r w:rsidRPr="00FA419F">
        <w:rPr>
          <w:rFonts w:asciiTheme="minorHAnsi" w:hAnsiTheme="minorHAnsi" w:cstheme="minorHAnsi"/>
          <w:b/>
          <w:bCs/>
          <w:color w:val="000000"/>
          <w:sz w:val="22"/>
          <w:szCs w:val="22"/>
        </w:rPr>
        <w:t xml:space="preserve"> Up and Go (TUG) :</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Il apparaît comme l'un des tests les plus cités pour évaluer la mobilité fonctionnelle et le risque de chute, grâce à sa rapidité d'exécution et sa pertinence clinique.</w:t>
      </w:r>
    </w:p>
    <w:p w14:paraId="2DEB064E" w14:textId="77777777" w:rsidR="00FA419F" w:rsidRPr="00FA419F" w:rsidRDefault="00FA419F" w:rsidP="00FA419F">
      <w:pPr>
        <w:pStyle w:val="NormalWeb"/>
        <w:numPr>
          <w:ilvl w:val="0"/>
          <w:numId w:val="35"/>
        </w:numPr>
        <w:spacing w:line="360" w:lineRule="auto"/>
        <w:jc w:val="both"/>
        <w:rPr>
          <w:rFonts w:asciiTheme="minorHAnsi" w:hAnsiTheme="minorHAnsi" w:cstheme="minorHAnsi"/>
          <w:color w:val="000000"/>
          <w:sz w:val="22"/>
          <w:szCs w:val="22"/>
        </w:rPr>
      </w:pPr>
      <w:r w:rsidRPr="00FA419F">
        <w:rPr>
          <w:rFonts w:asciiTheme="minorHAnsi" w:hAnsiTheme="minorHAnsi" w:cstheme="minorHAnsi"/>
          <w:b/>
          <w:bCs/>
          <w:color w:val="000000"/>
          <w:sz w:val="22"/>
          <w:szCs w:val="22"/>
        </w:rPr>
        <w:t>Le Test de marche de 6 minutes (6MWT) :</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Largement utilisé pour mesurer l'endurance cardiorespiratoire et la capacité de marche prolongée, il est considéré comme un indicateur fiable de la condition physique générale du patient.</w:t>
      </w:r>
    </w:p>
    <w:p w14:paraId="2C5DA046" w14:textId="77777777" w:rsidR="00FA419F" w:rsidRPr="00FA419F" w:rsidRDefault="00FA419F" w:rsidP="00FA419F">
      <w:pPr>
        <w:pStyle w:val="NormalWeb"/>
        <w:numPr>
          <w:ilvl w:val="0"/>
          <w:numId w:val="35"/>
        </w:numPr>
        <w:spacing w:line="360" w:lineRule="auto"/>
        <w:jc w:val="both"/>
        <w:rPr>
          <w:rFonts w:asciiTheme="minorHAnsi" w:hAnsiTheme="minorHAnsi" w:cstheme="minorHAnsi"/>
          <w:color w:val="000000"/>
          <w:sz w:val="22"/>
          <w:szCs w:val="22"/>
        </w:rPr>
      </w:pPr>
      <w:r w:rsidRPr="00FA419F">
        <w:rPr>
          <w:rFonts w:asciiTheme="minorHAnsi" w:hAnsiTheme="minorHAnsi" w:cstheme="minorHAnsi"/>
          <w:b/>
          <w:bCs/>
          <w:color w:val="000000"/>
          <w:sz w:val="22"/>
          <w:szCs w:val="22"/>
        </w:rPr>
        <w:t>Le Mini-</w:t>
      </w:r>
      <w:proofErr w:type="spellStart"/>
      <w:r w:rsidRPr="00FA419F">
        <w:rPr>
          <w:rFonts w:asciiTheme="minorHAnsi" w:hAnsiTheme="minorHAnsi" w:cstheme="minorHAnsi"/>
          <w:b/>
          <w:bCs/>
          <w:color w:val="000000"/>
          <w:sz w:val="22"/>
          <w:szCs w:val="22"/>
        </w:rPr>
        <w:t>BESTest</w:t>
      </w:r>
      <w:proofErr w:type="spellEnd"/>
      <w:r w:rsidRPr="00FA419F">
        <w:rPr>
          <w:rFonts w:asciiTheme="minorHAnsi" w:hAnsiTheme="minorHAnsi" w:cstheme="minorHAnsi"/>
          <w:b/>
          <w:bCs/>
          <w:color w:val="000000"/>
          <w:sz w:val="22"/>
          <w:szCs w:val="22"/>
        </w:rPr>
        <w:t xml:space="preserve"> :</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Pichon souligne son importance croissante dans la littérature récente pour une évaluation exhaustive de l'équilibre, car il permet de discriminer différents systèmes de contrôle postural (ajustements anticipatoires, réactifs, etc.).</w:t>
      </w:r>
    </w:p>
    <w:p w14:paraId="4E111DC8" w14:textId="77777777" w:rsidR="00FA419F" w:rsidRPr="00FA419F" w:rsidRDefault="00FA419F" w:rsidP="00FA419F">
      <w:pPr>
        <w:pStyle w:val="NormalWeb"/>
        <w:spacing w:line="360" w:lineRule="auto"/>
        <w:jc w:val="both"/>
        <w:rPr>
          <w:rFonts w:asciiTheme="minorHAnsi" w:hAnsiTheme="minorHAnsi" w:cstheme="minorHAnsi"/>
          <w:b/>
          <w:bCs/>
          <w:color w:val="000000"/>
          <w:sz w:val="22"/>
          <w:szCs w:val="22"/>
        </w:rPr>
      </w:pPr>
    </w:p>
    <w:p w14:paraId="3D386E16" w14:textId="515C7418" w:rsidR="00FA419F" w:rsidRDefault="00FA419F" w:rsidP="00FA419F">
      <w:pPr>
        <w:pStyle w:val="NormalWeb"/>
        <w:spacing w:line="360" w:lineRule="auto"/>
        <w:jc w:val="both"/>
        <w:rPr>
          <w:rFonts w:asciiTheme="minorHAnsi" w:hAnsiTheme="minorHAnsi" w:cstheme="minorHAnsi"/>
          <w:color w:val="000000"/>
          <w:sz w:val="22"/>
          <w:szCs w:val="22"/>
        </w:rPr>
      </w:pPr>
      <w:r w:rsidRPr="00FA419F">
        <w:rPr>
          <w:rFonts w:asciiTheme="minorHAnsi" w:hAnsiTheme="minorHAnsi" w:cstheme="minorHAnsi"/>
          <w:color w:val="000000"/>
          <w:sz w:val="22"/>
          <w:szCs w:val="22"/>
        </w:rPr>
        <w:lastRenderedPageBreak/>
        <w:t>L'étude explique également que le choix de ces tests dans la littérature est souvent dicté par leur</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fidélité, leur</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sensibilité au changement</w:t>
      </w:r>
      <w:r w:rsidRPr="00FA419F">
        <w:rPr>
          <w:rStyle w:val="apple-converted-space"/>
          <w:rFonts w:asciiTheme="minorHAnsi" w:hAnsiTheme="minorHAnsi" w:cstheme="minorHAnsi"/>
          <w:color w:val="000000"/>
          <w:sz w:val="22"/>
          <w:szCs w:val="22"/>
        </w:rPr>
        <w:t> </w:t>
      </w:r>
      <w:r w:rsidRPr="00FA419F">
        <w:rPr>
          <w:rFonts w:asciiTheme="minorHAnsi" w:hAnsiTheme="minorHAnsi" w:cstheme="minorHAnsi"/>
          <w:color w:val="000000"/>
          <w:sz w:val="22"/>
          <w:szCs w:val="22"/>
        </w:rPr>
        <w:t>et leur capacité à refléter l'impact des interventions thérapeutiques. Cependant, Pichon alerte sur le fait que certains tests très présents dans les études scientifiques sont parfois délaissés en pratique libérale par manque de temps ou de matériel, créant ainsi un fossé entre la recherche et la clinique</w:t>
      </w: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fldChar w:fldCharType="begin"/>
      </w:r>
      <w:r>
        <w:rPr>
          <w:rFonts w:asciiTheme="minorHAnsi" w:hAnsiTheme="minorHAnsi" w:cstheme="minorHAnsi"/>
          <w:color w:val="000000"/>
          <w:sz w:val="22"/>
          <w:szCs w:val="22"/>
        </w:rPr>
        <w:instrText xml:space="preserve"> ADDIN ZOTERO_ITEM CSL_CITATION {"citationID":"GPEq0di7","properties":{"formattedCitation":"(Pichon, 2023)","plainCitation":"(Pichon, 2023)","noteIndex":0},"citationItems":[{"id":210,"uris":["http://zotero.org/users/10583480/items/8YT7MAFS"],"itemData":{"id":210,"type":"article-journal","title":"Atteinte du contrôle postural chez les personnes avec BPCO : modifications, caractéristiques et activités de la vie quotidienne.","author":[{"family":"Pichon","given":""}],"issued":{"date-parts":[["2023"]]}}}],"schema":"https://github.com/citation-style-language/schema/raw/master/csl-citation.json"} </w:instrText>
      </w:r>
      <w:r>
        <w:rPr>
          <w:rFonts w:asciiTheme="minorHAnsi" w:hAnsiTheme="minorHAnsi" w:cstheme="minorHAnsi"/>
          <w:color w:val="000000"/>
          <w:sz w:val="22"/>
          <w:szCs w:val="22"/>
        </w:rPr>
        <w:fldChar w:fldCharType="separate"/>
      </w:r>
      <w:r>
        <w:rPr>
          <w:rFonts w:asciiTheme="minorHAnsi" w:hAnsiTheme="minorHAnsi" w:cstheme="minorHAnsi"/>
          <w:noProof/>
          <w:color w:val="000000"/>
          <w:sz w:val="22"/>
          <w:szCs w:val="22"/>
        </w:rPr>
        <w:t>(Pichon, 2023)</w:t>
      </w:r>
      <w:r>
        <w:rPr>
          <w:rFonts w:asciiTheme="minorHAnsi" w:hAnsiTheme="minorHAnsi" w:cstheme="minorHAnsi"/>
          <w:color w:val="000000"/>
          <w:sz w:val="22"/>
          <w:szCs w:val="22"/>
        </w:rPr>
        <w:fldChar w:fldCharType="end"/>
      </w:r>
      <w:r w:rsidRPr="00FA419F">
        <w:rPr>
          <w:rFonts w:asciiTheme="minorHAnsi" w:hAnsiTheme="minorHAnsi" w:cstheme="minorHAnsi"/>
          <w:color w:val="000000"/>
          <w:sz w:val="22"/>
          <w:szCs w:val="22"/>
        </w:rPr>
        <w:t>.</w:t>
      </w:r>
    </w:p>
    <w:p w14:paraId="35184B97" w14:textId="169C95BC" w:rsidR="00FA419F" w:rsidRPr="00FA419F" w:rsidRDefault="00FA419F" w:rsidP="00FA419F">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Cela appuie le fait qu’il existe réellement une discordance entre les recommandations retrouvées dans la littérature et la réalité clinique. En effet, les tests décrits comme étant les plus fiables et robustes scientifiquement ne sont en fait pas utilisés par les praticiens.</w:t>
      </w:r>
    </w:p>
    <w:p w14:paraId="466E8A2C" w14:textId="77777777" w:rsidR="00FA419F" w:rsidRPr="00FA419F" w:rsidRDefault="00FA419F" w:rsidP="00FA419F"/>
    <w:p w14:paraId="35B9F6F7" w14:textId="38A9BE86" w:rsidR="00401753" w:rsidRDefault="00F93D52" w:rsidP="00F93D52">
      <w:pPr>
        <w:pStyle w:val="Titre3"/>
        <w:spacing w:line="360" w:lineRule="auto"/>
        <w:jc w:val="both"/>
      </w:pPr>
      <w:bookmarkStart w:id="84" w:name="_Toc221704647"/>
      <w:r>
        <w:t>Une similitude avec les tendances internationales</w:t>
      </w:r>
      <w:bookmarkEnd w:id="84"/>
    </w:p>
    <w:p w14:paraId="5EB69456" w14:textId="0CEB625A" w:rsidR="00F93D52" w:rsidRDefault="00F93D52" w:rsidP="00F93D52">
      <w:pPr>
        <w:spacing w:line="360" w:lineRule="auto"/>
        <w:jc w:val="both"/>
      </w:pPr>
      <w:r>
        <w:tab/>
        <w:t xml:space="preserve">L’omniprésence de l’utilisation du test d’appui unipodale par les répondants est en adéquation avec la littérature scientifique actuelle. </w:t>
      </w:r>
      <w:r w:rsidR="002E4A85">
        <w:t xml:space="preserve">Ce test est plébiscité pour sa rapidité d’exécution, ce qui représente un atout majeur pour son utilisation en milieu libéral </w:t>
      </w:r>
      <w:r w:rsidR="002E4A85">
        <w:fldChar w:fldCharType="begin"/>
      </w:r>
      <w:r w:rsidR="002E4A85">
        <w:instrText xml:space="preserve"> ADDIN ZOTERO_ITEM CSL_CITATION {"citationID":"rlw3ysM0","properties":{"formattedCitation":"(Delfa-de-la-Morena et al., 2024)","plainCitation":"(Delfa-de-la-Morena et al., 2024)","noteIndex":0},"citationItems":[{"id":553,"uris":["http://zotero.org/users/10583480/items/E6KUUNFP"],"itemData":{"id":553,"type":"article-journal","abstract":"Objective: This study investigates the relationship between lower limb strength and postural stability in single-leg stance using the Balance Master system. Methods: The research involved 64 participants divided into sedentary and physically active groups based on metabolic equivalents of task (METs) values, normal weight, overweight, and obese according to body composition. Postural control was evaluated using the Sensory Organization Test. Results: The results showed that there were no significant differences in mean and maximum lower limb strength between the groups. Furthermore, postural stability in open and closed eyes conditions did not show significant differences between the groups. However, a significant positive correlation was observed between lower limb strength and stability in single-leg stance with eyes open. Conclusions: These findings suggest that lower limb muscle strength is essential for postural stability, especially when vision is available to aid balance. The study highlights the importance of interventions focused on strengthening muscles to improve physical functionality in adults.","container-title":"Journal of Functional Morphology and Kinesiology","DOI":"10.3390/jfmk9040282","ISSN":"2411-5142","issue":"4","journalAbbreviation":"J Funct Morphol Kinesiol","note":"PMID: 39728266\nPMCID: PMC11678305","page":"282","source":"PubMed Central","title":"Single-Leg Balance and Lower Limb Strength: Quantitative Analysis with the Balance Master System","title-short":"Single-Leg Balance and Lower Limb Strength","volume":"9","author":[{"family":"Delfa-de-la-Morena","given":"José Manuel"},{"family":"Paes","given":"Pedro Pinheiro"},{"family":"Oliveira","given":"Débora Priscila Lima","non-dropping-particle":"de"},{"family":"Júnior","given":"Frederico Camarotti"},{"family":"Lima","given":"Bruna Daniele Monteiro"},{"family":"García-González","given":"Miriam"},{"family":"Mijarra-Murillo","given":"Juan-José"},{"family":"Riquelme-Aguado","given":"Víctor"}],"issued":{"date-parts":[["2024",12,21]]}}}],"schema":"https://github.com/citation-style-language/schema/raw/master/csl-citation.json"} </w:instrText>
      </w:r>
      <w:r w:rsidR="002E4A85">
        <w:fldChar w:fldCharType="separate"/>
      </w:r>
      <w:r w:rsidR="002E4A85">
        <w:rPr>
          <w:noProof/>
        </w:rPr>
        <w:t>(Delfa-de-la-Morena et al., 2024)</w:t>
      </w:r>
      <w:r w:rsidR="002E4A85">
        <w:fldChar w:fldCharType="end"/>
      </w:r>
      <w:r w:rsidR="002E4A85">
        <w:t>.</w:t>
      </w:r>
    </w:p>
    <w:p w14:paraId="7ABC4311" w14:textId="672A7788" w:rsidR="002E4A85" w:rsidRPr="00F93D52" w:rsidRDefault="002E4A85" w:rsidP="00F93D52">
      <w:pPr>
        <w:spacing w:line="360" w:lineRule="auto"/>
        <w:jc w:val="both"/>
      </w:pPr>
      <w:r>
        <w:t xml:space="preserve">Cependant, l’utilisation d’outils de dépistage </w:t>
      </w:r>
      <w:r w:rsidR="00983D9E">
        <w:t>exhaustif</w:t>
      </w:r>
      <w:r>
        <w:t xml:space="preserve"> tel que le TUG ou le Tinetti au détriment d’évaluation plus exhaustive confirme la tendance observée par Sibley </w:t>
      </w:r>
      <w:r>
        <w:fldChar w:fldCharType="begin"/>
      </w:r>
      <w:r>
        <w:instrText xml:space="preserve"> ADDIN ZOTERO_ITEM CSL_CITATION {"citationID":"Kul8OaW9","properties":{"formattedCitation":"(Sibley et al., 2011b)","plainCitation":"(Sibley et al., 2011b)","noteIndex":0},"citationItems":[{"id":192,"uris":["http://zotero.org/users/10583480/items/EF2PY26V"],"itemData":{"id":192,"type":"article-journal","abstract":"Background\nBalance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fldChar w:fldCharType="separate"/>
      </w:r>
      <w:r>
        <w:rPr>
          <w:noProof/>
        </w:rPr>
        <w:t>(Sibley et al., 2011b)</w:t>
      </w:r>
      <w:r>
        <w:fldChar w:fldCharType="end"/>
      </w:r>
      <w:r>
        <w:t xml:space="preserve">. Ces auteurs notaient, concernant les pratiques au Canada, que la formation initiale influence les connaissances et compétences des cliniciens les conduisant à utiliser des tests par habitude au détriment de leur précision diagnostique. Le score global d’un test comme le TUG permet de quantifier et d’objectiver le fait qu’un sujet soit à risque de chute mais ne permet pas le diagnostic différentiel du système déficitaire </w:t>
      </w:r>
      <w:r>
        <w:fldChar w:fldCharType="begin"/>
      </w:r>
      <w:r>
        <w:instrText xml:space="preserve"> ADDIN ZOTERO_ITEM CSL_CITATION {"citationID":"fieKxEfh","properties":{"formattedCitation":"(Podsiadlo &amp; Richardson, 1991)","plainCitation":"(Podsiadlo &amp; Richardson, 1991)","noteIndex":0},"citationItems":[{"id":547,"uris":["http://zotero.org/users/10583480/items/S5IIGLB6"],"itemData":{"id":547,"type":"article-journal","abstract":"This study evaluated a modified, timed version of the \"Get-Up and Go\" Test (Mathias et al, 1986) in 60 patients referred to a Geriatric Day Hospital (mean age 79.5 years). The patient is observed and timed while he rises from an arm chair, walks 3 meters, turns, walks back, and sits down again. The results indicate that the time score is (1) reliable (inter-rater and intra-rater); (2) correlates well with log-transformed scores on the Berg Balance Scale (r = -0.81), gait speed (r = -0.61) and Barthel Index of ADL (r = -0.78); and (3) appears to predict the patient's ability to go outside alone safely. These data suggest that the timed \"Up &amp; Go\" test is a reliable and valid test for quantifying functional mobility that may also be useful in following clinical change over time. The test is quick, requires no special equipment or training, and is easily included as part of the routine medical examination.","container-title":"Journal of the American Geriatrics Society","DOI":"10.1111/j.1532-5415.1991.tb01616.x","ISSN":"0002-8614","issue":"2","journalAbbreviation":"J Am Geriatr Soc","language":"eng","note":"PMID: 1991946","page":"142-148","source":"PubMed","title":"The timed \"Up &amp; Go\": a test of basic functional mobility for frail elderly persons","title-short":"The timed \"Up &amp; Go\"","volume":"39","author":[{"family":"Podsiadlo","given":"D."},{"family":"Richardson","given":"S."}],"issued":{"date-parts":[["1991",2]]}}}],"schema":"https://github.com/citation-style-language/schema/raw/master/csl-citation.json"} </w:instrText>
      </w:r>
      <w:r>
        <w:fldChar w:fldCharType="separate"/>
      </w:r>
      <w:r>
        <w:rPr>
          <w:noProof/>
        </w:rPr>
        <w:t>(Podsiadlo &amp; Richardson, 1991)</w:t>
      </w:r>
      <w:r>
        <w:fldChar w:fldCharType="end"/>
      </w:r>
      <w:r>
        <w:t>.</w:t>
      </w:r>
    </w:p>
    <w:p w14:paraId="41AAD99B" w14:textId="49626DEC" w:rsidR="008F79EE" w:rsidRDefault="008F79EE" w:rsidP="008F79EE">
      <w:pPr>
        <w:pStyle w:val="Titre3"/>
      </w:pPr>
      <w:bookmarkStart w:id="85" w:name="_Toc221704648"/>
      <w:r>
        <w:t>Le déficit de diffusion</w:t>
      </w:r>
      <w:bookmarkEnd w:id="85"/>
      <w:r>
        <w:t xml:space="preserve"> </w:t>
      </w:r>
    </w:p>
    <w:p w14:paraId="526AEAB8" w14:textId="2C67F511" w:rsidR="008F79EE" w:rsidRPr="008F79EE" w:rsidRDefault="008F79EE" w:rsidP="008F79EE">
      <w:pPr>
        <w:pStyle w:val="NormalWeb"/>
        <w:spacing w:line="360" w:lineRule="auto"/>
        <w:jc w:val="both"/>
        <w:rPr>
          <w:rFonts w:asciiTheme="minorHAnsi" w:hAnsiTheme="minorHAnsi" w:cstheme="minorHAnsi"/>
          <w:color w:val="000000"/>
          <w:sz w:val="22"/>
          <w:szCs w:val="22"/>
        </w:rPr>
      </w:pPr>
      <w:r w:rsidRPr="008F79EE">
        <w:rPr>
          <w:rStyle w:val="citation-1665"/>
          <w:rFonts w:asciiTheme="minorHAnsi" w:eastAsiaTheme="majorEastAsia" w:hAnsiTheme="minorHAnsi" w:cstheme="minorHAnsi"/>
          <w:color w:val="000000"/>
          <w:sz w:val="22"/>
          <w:szCs w:val="22"/>
        </w:rPr>
        <w:tab/>
        <w:t xml:space="preserve">Comme évoqué dans l’analyse des résultats près de 90 % des répondants ne connaissent pas le modèle de </w:t>
      </w:r>
      <w:proofErr w:type="spellStart"/>
      <w:r w:rsidRPr="008F79EE">
        <w:rPr>
          <w:rStyle w:val="citation-1665"/>
          <w:rFonts w:asciiTheme="minorHAnsi" w:eastAsiaTheme="majorEastAsia" w:hAnsiTheme="minorHAnsi" w:cstheme="minorHAnsi"/>
          <w:color w:val="000000"/>
          <w:sz w:val="22"/>
          <w:szCs w:val="22"/>
        </w:rPr>
        <w:t>Horak</w:t>
      </w:r>
      <w:proofErr w:type="spellEnd"/>
      <w:r w:rsidRPr="008F79EE">
        <w:rPr>
          <w:rFonts w:asciiTheme="minorHAnsi" w:hAnsiTheme="minorHAnsi" w:cstheme="minorHAnsi"/>
          <w:color w:val="000000"/>
          <w:sz w:val="22"/>
          <w:szCs w:val="22"/>
        </w:rPr>
        <w:t>.</w:t>
      </w:r>
      <w:r w:rsidRPr="008F79EE">
        <w:rPr>
          <w:rStyle w:val="apple-converted-space"/>
          <w:rFonts w:asciiTheme="minorHAnsi" w:hAnsiTheme="minorHAnsi" w:cstheme="minorHAnsi"/>
          <w:color w:val="000000"/>
          <w:sz w:val="22"/>
          <w:szCs w:val="22"/>
        </w:rPr>
        <w:t> </w:t>
      </w:r>
      <w:r w:rsidRPr="008F79EE">
        <w:rPr>
          <w:rStyle w:val="citation-1664"/>
          <w:rFonts w:asciiTheme="minorHAnsi" w:eastAsiaTheme="majorEastAsia" w:hAnsiTheme="minorHAnsi" w:cstheme="minorHAnsi"/>
          <w:color w:val="000000"/>
          <w:sz w:val="22"/>
          <w:szCs w:val="22"/>
        </w:rPr>
        <w:t>Ce déficit de diffusion du</w:t>
      </w:r>
      <w:r w:rsidRPr="008F79EE">
        <w:rPr>
          <w:rStyle w:val="apple-converted-space"/>
          <w:rFonts w:asciiTheme="minorHAnsi" w:hAnsiTheme="minorHAnsi" w:cstheme="minorHAnsi"/>
          <w:color w:val="000000"/>
          <w:sz w:val="22"/>
          <w:szCs w:val="22"/>
        </w:rPr>
        <w:t> « </w:t>
      </w:r>
      <w:proofErr w:type="spellStart"/>
      <w:r w:rsidRPr="008F79EE">
        <w:rPr>
          <w:rStyle w:val="citation-1664"/>
          <w:rFonts w:asciiTheme="minorHAnsi" w:eastAsiaTheme="majorEastAsia" w:hAnsiTheme="minorHAnsi" w:cstheme="minorHAnsi"/>
          <w:i/>
          <w:iCs/>
          <w:color w:val="000000"/>
          <w:sz w:val="22"/>
          <w:szCs w:val="22"/>
        </w:rPr>
        <w:t>Systems</w:t>
      </w:r>
      <w:proofErr w:type="spellEnd"/>
      <w:r w:rsidRPr="008F79EE">
        <w:rPr>
          <w:rStyle w:val="citation-1664"/>
          <w:rFonts w:asciiTheme="minorHAnsi" w:eastAsiaTheme="majorEastAsia" w:hAnsiTheme="minorHAnsi" w:cstheme="minorHAnsi"/>
          <w:i/>
          <w:iCs/>
          <w:color w:val="000000"/>
          <w:sz w:val="22"/>
          <w:szCs w:val="22"/>
        </w:rPr>
        <w:t xml:space="preserve"> Framework for Postural Control »</w:t>
      </w:r>
      <w:r w:rsidRPr="008F79EE">
        <w:rPr>
          <w:rStyle w:val="apple-converted-space"/>
          <w:rFonts w:asciiTheme="minorHAnsi" w:hAnsiTheme="minorHAnsi" w:cstheme="minorHAnsi"/>
          <w:color w:val="000000"/>
          <w:sz w:val="22"/>
          <w:szCs w:val="22"/>
        </w:rPr>
        <w:t> </w:t>
      </w:r>
      <w:r w:rsidRPr="008F79EE">
        <w:rPr>
          <w:rStyle w:val="citation-1664"/>
          <w:rFonts w:asciiTheme="minorHAnsi" w:eastAsiaTheme="majorEastAsia" w:hAnsiTheme="minorHAnsi" w:cstheme="minorHAnsi"/>
          <w:color w:val="000000"/>
          <w:sz w:val="22"/>
          <w:szCs w:val="22"/>
        </w:rPr>
        <w:t xml:space="preserve">explique la sous-utilisation critique du </w:t>
      </w:r>
      <w:proofErr w:type="spellStart"/>
      <w:r w:rsidRPr="008F79EE">
        <w:rPr>
          <w:rStyle w:val="citation-1664"/>
          <w:rFonts w:asciiTheme="minorHAnsi" w:eastAsiaTheme="majorEastAsia" w:hAnsiTheme="minorHAnsi" w:cstheme="minorHAnsi"/>
          <w:color w:val="000000"/>
          <w:sz w:val="22"/>
          <w:szCs w:val="22"/>
        </w:rPr>
        <w:t>BESTest</w:t>
      </w:r>
      <w:proofErr w:type="spellEnd"/>
      <w:r w:rsidRPr="008F79EE">
        <w:rPr>
          <w:rStyle w:val="citation-1664"/>
          <w:rFonts w:asciiTheme="minorHAnsi" w:eastAsiaTheme="majorEastAsia" w:hAnsiTheme="minorHAnsi" w:cstheme="minorHAnsi"/>
          <w:color w:val="000000"/>
          <w:sz w:val="22"/>
          <w:szCs w:val="22"/>
        </w:rPr>
        <w:t>.</w:t>
      </w:r>
    </w:p>
    <w:p w14:paraId="6ABB85C2" w14:textId="08849BE8" w:rsidR="008F79EE" w:rsidRPr="008F79EE" w:rsidRDefault="008F79EE" w:rsidP="008F79EE">
      <w:pPr>
        <w:pStyle w:val="NormalWeb"/>
        <w:spacing w:line="360" w:lineRule="auto"/>
        <w:jc w:val="both"/>
        <w:rPr>
          <w:rFonts w:asciiTheme="minorHAnsi" w:hAnsiTheme="minorHAnsi" w:cstheme="minorHAnsi"/>
          <w:color w:val="000000"/>
          <w:sz w:val="22"/>
          <w:szCs w:val="22"/>
        </w:rPr>
      </w:pPr>
      <w:r w:rsidRPr="008F79EE">
        <w:rPr>
          <w:rFonts w:asciiTheme="minorHAnsi" w:hAnsiTheme="minorHAnsi" w:cstheme="minorHAnsi"/>
          <w:color w:val="000000"/>
          <w:sz w:val="22"/>
          <w:szCs w:val="22"/>
        </w:rPr>
        <w:t>L</w:t>
      </w:r>
      <w:r w:rsidR="00983D9E">
        <w:rPr>
          <w:rFonts w:asciiTheme="minorHAnsi" w:hAnsiTheme="minorHAnsi" w:cstheme="minorHAnsi"/>
          <w:color w:val="000000"/>
          <w:sz w:val="22"/>
          <w:szCs w:val="22"/>
        </w:rPr>
        <w:t>e</w:t>
      </w:r>
      <w:r w:rsidRPr="008F79EE">
        <w:rPr>
          <w:rFonts w:asciiTheme="minorHAnsi" w:hAnsiTheme="minorHAnsi" w:cstheme="minorHAnsi"/>
          <w:color w:val="000000"/>
          <w:sz w:val="22"/>
          <w:szCs w:val="22"/>
        </w:rPr>
        <w:t xml:space="preserve"> </w:t>
      </w:r>
      <w:proofErr w:type="spellStart"/>
      <w:r w:rsidRPr="008F79EE">
        <w:rPr>
          <w:rFonts w:asciiTheme="minorHAnsi" w:hAnsiTheme="minorHAnsi" w:cstheme="minorHAnsi"/>
          <w:color w:val="000000"/>
          <w:sz w:val="22"/>
          <w:szCs w:val="22"/>
        </w:rPr>
        <w:t>BESTest</w:t>
      </w:r>
      <w:proofErr w:type="spellEnd"/>
      <w:r w:rsidRPr="008F79EE">
        <w:rPr>
          <w:rFonts w:asciiTheme="minorHAnsi" w:hAnsiTheme="minorHAnsi" w:cstheme="minorHAnsi"/>
          <w:color w:val="000000"/>
          <w:sz w:val="22"/>
          <w:szCs w:val="22"/>
        </w:rPr>
        <w:t xml:space="preserve"> étant</w:t>
      </w:r>
      <w:r w:rsidRPr="008F79EE">
        <w:rPr>
          <w:rStyle w:val="apple-converted-space"/>
          <w:rFonts w:asciiTheme="minorHAnsi" w:hAnsiTheme="minorHAnsi" w:cstheme="minorHAnsi"/>
          <w:color w:val="000000"/>
          <w:sz w:val="22"/>
          <w:szCs w:val="22"/>
        </w:rPr>
        <w:t> </w:t>
      </w:r>
      <w:r w:rsidRPr="008F79EE">
        <w:rPr>
          <w:rStyle w:val="citation-1663"/>
          <w:rFonts w:asciiTheme="minorHAnsi" w:eastAsiaTheme="majorEastAsia" w:hAnsiTheme="minorHAnsi" w:cstheme="minorHAnsi"/>
          <w:color w:val="000000"/>
          <w:sz w:val="22"/>
          <w:szCs w:val="22"/>
        </w:rPr>
        <w:t>présenté comme le seul outil permettant d'évaluer toutes les composantes de l'équilibre</w:t>
      </w:r>
      <w:r w:rsidRPr="008F79EE">
        <w:rPr>
          <w:rFonts w:asciiTheme="minorHAnsi" w:hAnsiTheme="minorHAnsi" w:cstheme="minorHAnsi"/>
          <w:color w:val="000000"/>
          <w:sz w:val="22"/>
          <w:szCs w:val="22"/>
        </w:rPr>
        <w:t xml:space="preserve">, son absence de notoriété suggère que le frein n'est pas uniquement le temps de passation important déjà identifié </w:t>
      </w:r>
      <w:r w:rsidRPr="008F79EE">
        <w:rPr>
          <w:rFonts w:asciiTheme="minorHAnsi" w:hAnsiTheme="minorHAnsi" w:cstheme="minorHAnsi"/>
          <w:color w:val="000000"/>
          <w:sz w:val="22"/>
          <w:szCs w:val="22"/>
        </w:rPr>
        <w:fldChar w:fldCharType="begin"/>
      </w:r>
      <w:r w:rsidRPr="008F79EE">
        <w:rPr>
          <w:rFonts w:asciiTheme="minorHAnsi" w:hAnsiTheme="minorHAnsi" w:cstheme="minorHAnsi"/>
          <w:color w:val="000000"/>
          <w:sz w:val="22"/>
          <w:szCs w:val="22"/>
        </w:rPr>
        <w:instrText xml:space="preserve"> ADDIN ZOTERO_ITEM CSL_CITATION {"citationID":"5GatsqHH","properties":{"formattedCitation":"(Leddy et al., 2011; Sibley, Beauchamp, Van Ooteghem, et al., 2015)","plainCitation":"(Leddy et al., 2011; Sibley, Beauchamp, Van Ooteghem, et al., 2015)","noteIndex":0},"citationItems":[{"id":224,"uris":["http://zotero.org/users/10583480/items/8A2EEA9S"],"itemData":{"id":224,"type":"article-journal","abstract":"Background and Purpose\nThe Balance Evaluation Systems Test (BESTest) has been shown to be a reliable and valid measure of balance in individuals with Parkinson disease (PD). A less time-consuming assessment may increase clinical utility. We compared the discriminative fall risk ability of the Mini-BESTest to that of the BESTest, and determined the reliability and normal distribution of scores for each section of the BESTest and the Mini-BESTest in individuals with PD.\n\nMethods\nEighty individuals with idiopathic PD were assessed using the BESTest and Mini-BESTest. A faller was defined as an individual with 2 or more falls in the prior 6-months. Subsets of individuals were used to determine inter-rater (n=15) and test-retest reliability (n=24).\n\nResults\nThe Mini-BESTest, total BESTest score, and all sections of the BESTest, showed a significant difference between the average scores of fallers and non-fallers. For both the Mini-BESTest and BESTest, inter-rater (intraclass correlation ICC≥0.91) and test-retest (ICC≥0.88) reliability was high. The Mini-BESTest and BESTest were highly correlated (r=0.955). Accuracy of identifying a faller was comparable for the Mini-BESTest and BESTest (area under the ROC plots =0.86 and =0.84, respectively).\n\nDiscussion\nNo specific section of the BESTest captured the primary balance deficit for individuals with PD. The post-test probabilities for discriminating fallers versus non-fallers were comparable-to-slightly stronger when using the Mini-BESTest.\n\nConclusion\nAlthough the Mini-BESTest has fewer than half of the items in the BESTest and takes only 15 minutes to complete, it is as reliable as the BESTest and has comparable-to-slightly greater discriminative properties for identifying fallers in individuals with Parkinson Disease.","container-title":"Journal of neurologic physical therapy : JNPT","DOI":"10.1097/NPT.0b013e31821a620c","ISSN":"1557-0576","issue":"2","journalAbbreviation":"J Neurol Phys Ther","note":"PMID: 21934364\nPMCID: PMC3178037","page":"90-97","source":"PubMed Central","title":"Utility of the Mini-BESTest, BESTest, and BESTest Sections for Balance Assessments in Individuals with Parkinson Disease","volume":"35","author":[{"family":"Leddy","given":"Abigail L."},{"family":"Crowner","given":"Beth E."},{"family":"Earhart","given":"Gammon M."}],"issued":{"date-parts":[["2011",6]]}}},{"id":156,"uris":["http://zotero.org/users/10583480/items/PDTGEDVF"],"itemData":{"id":156,"type":"article-journal","abstract":"OBJECTIVE: To identify components of postural control included in standardized balance measures for adult populations.\nDATA SOURCES: Electronic searches of MEDLINE, EMBASE, and CINAHL databases using keyword combinations of postural balance/equilibrium, psychometrics/reproducibility of results/predictive value of tests/validation studies, instrument construction/instrument validation, geriatric assessment/disability evaluation, gray literature, and hand searches.\nSTUDY SELECTION: Inclusion criteria were measures with a stated objective to assess balance, adult populations (18y and older), at least 1 psychometric evaluation, 1 standing task, a standardized protocol and evaluation criteria, and published in English. Two reviewers independently identified studies for inclusion. Sixty-six measures were included.\nDATA EXTRACTION: A research assistant extracted descriptive characteristics and 2 reviewers independently coded components of balance in each measure using the Systems Framework for Postural Control, a widely recognized model of balance.\nDATA SYNTHESIS: Components of balance evaluated in these measures were underlying motor systems (100% of measures), anticipatory postural control (71%), dynamic stability (67%), static stability (64%), sensory integration (48%), functional stability limits (27%), reactive postural control (23%), cognitive influences (17%), and verticality (8%). Thirty-four measures evaluated 3 or fewer components of balance, and 1 measure-the Balance Evaluation Systems Test-evaluated all components of balance.\nCONCLUSIONS: Several standardized balance measures provide only partial information on postural control and omit important components of balance related to avoiding falls. As such, the choice of measure(s) may limit the overall interpretation of an individual's balance ability. Continued work is necessary to increase the implementation of comprehensive balance assessment in research and practice.","container-title":"Archives of Physical Medicine and Rehabilitation","DOI":"10.1016/j.apmr.2014.06.021","ISSN":"1532-821X","issue":"1","journalAbbreviation":"Arch Phys Med Rehabil","language":"eng","note":"PMID: 25073007","page":"122-132.e29","source":"PubMed","title":"Using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K."},{"family":"Van Ooteghem","given":"Karen"},{"family":"Straus","given":"Sharon E."},{"family":"Jaglal","given":"Susan B."}],"issued":{"date-parts":[["2015",1]]}}}],"schema":"https://github.com/citation-style-language/schema/raw/master/csl-citation.json"} </w:instrText>
      </w:r>
      <w:r w:rsidRPr="008F79EE">
        <w:rPr>
          <w:rFonts w:asciiTheme="minorHAnsi" w:hAnsiTheme="minorHAnsi" w:cstheme="minorHAnsi"/>
          <w:color w:val="000000"/>
          <w:sz w:val="22"/>
          <w:szCs w:val="22"/>
        </w:rPr>
        <w:fldChar w:fldCharType="separate"/>
      </w:r>
      <w:r w:rsidRPr="008F79EE">
        <w:rPr>
          <w:rFonts w:asciiTheme="minorHAnsi" w:hAnsiTheme="minorHAnsi" w:cstheme="minorHAnsi"/>
          <w:noProof/>
          <w:color w:val="000000"/>
          <w:sz w:val="22"/>
          <w:szCs w:val="22"/>
        </w:rPr>
        <w:t>(Leddy et al., 2011; Sibley, Beauchamp, Van Ooteghem, et al., 2015)</w:t>
      </w:r>
      <w:r w:rsidRPr="008F79EE">
        <w:rPr>
          <w:rFonts w:asciiTheme="minorHAnsi" w:hAnsiTheme="minorHAnsi" w:cstheme="minorHAnsi"/>
          <w:color w:val="000000"/>
          <w:sz w:val="22"/>
          <w:szCs w:val="22"/>
        </w:rPr>
        <w:fldChar w:fldCharType="end"/>
      </w:r>
      <w:r w:rsidRPr="008F79EE">
        <w:rPr>
          <w:rFonts w:asciiTheme="minorHAnsi" w:hAnsiTheme="minorHAnsi" w:cstheme="minorHAnsi"/>
          <w:color w:val="000000"/>
          <w:sz w:val="22"/>
          <w:szCs w:val="22"/>
        </w:rPr>
        <w:t>. Il semble exister une barrière liée à la formation, comme le pressentaient Sibley</w:t>
      </w:r>
      <w:r w:rsidRPr="008F79EE">
        <w:rPr>
          <w:rStyle w:val="apple-converted-space"/>
          <w:rFonts w:asciiTheme="minorHAnsi" w:hAnsiTheme="minorHAnsi" w:cstheme="minorHAnsi"/>
          <w:color w:val="000000"/>
          <w:sz w:val="22"/>
          <w:szCs w:val="22"/>
        </w:rPr>
        <w:t> </w:t>
      </w:r>
      <w:r w:rsidRPr="008F79EE">
        <w:rPr>
          <w:rStyle w:val="citation-1661"/>
          <w:rFonts w:asciiTheme="minorHAnsi" w:hAnsiTheme="minorHAnsi" w:cstheme="minorHAnsi"/>
          <w:color w:val="000000"/>
          <w:sz w:val="22"/>
          <w:szCs w:val="22"/>
        </w:rPr>
        <w:t xml:space="preserve">lorsqu'ils soulignaient qu'un déficit de formation spécifique peut limiter l'usage de tests dont la pertinence est pourtant avérée </w:t>
      </w:r>
      <w:r w:rsidRPr="008F79EE">
        <w:rPr>
          <w:rStyle w:val="citation-1661"/>
          <w:rFonts w:asciiTheme="minorHAnsi" w:hAnsiTheme="minorHAnsi" w:cstheme="minorHAnsi"/>
          <w:color w:val="000000"/>
          <w:sz w:val="22"/>
          <w:szCs w:val="22"/>
        </w:rPr>
        <w:fldChar w:fldCharType="begin"/>
      </w:r>
      <w:r w:rsidRPr="008F79EE">
        <w:rPr>
          <w:rStyle w:val="citation-1661"/>
          <w:rFonts w:asciiTheme="minorHAnsi" w:hAnsiTheme="minorHAnsi" w:cstheme="minorHAnsi"/>
          <w:color w:val="000000"/>
          <w:sz w:val="22"/>
          <w:szCs w:val="22"/>
        </w:rPr>
        <w:instrText xml:space="preserve"> ADDIN ZOTERO_ITEM CSL_CITATION {"citationID":"NpV3S0K7","properties":{"formattedCitation":"(Sibley et al., 2011b)","plainCitation":"(Sibley et al., 2011b)","noteIndex":0},"citationItems":[{"id":192,"uris":["http://zotero.org/users/10583480/items/EF2PY26V"],"itemData":{"id":192,"type":"article-journal","abstract":"Background\nBalance impairment is a significant problem for older adults, as it can influence daily functioning. Treating balance impairment in this population is a major focus of physical therapist practice.\n\nObjective\nThe purpose of this study was to document current practices in clinical balance assessment and compare components of balance assessed and measures used across practice areas among physical therapists.\n\nDesign\nThis was a cross-sectional study.\n\nMethods\nA survey questionnaire was mailed to 1,000 practicing physical therapists in Ontario, Canada.\n\nResults\nThree hundred sixty-nine individuals completed the survey questionnaire. More than 80% of respondents reported that they regularly (more than 60% of the time) assessed postural alignment, static and dynamic stability, functional balance, and underlying motor systems. Underlying sensory systems, cognitive contributions to balance, and reactive control were regularly assessed by 59.6%, 55.0%, and 41.2% of the respondents, respectively. The standardized measures regularly used by the most respondents were the single-leg stance test (79.1%), the Berg Balance Scale (45.0%), and the Timed “Up &amp; Go” Test (27.6%). There was considerable variation in the components of balance assessed and measures used by respondents treating individuals in the orthopedic, neurologic, geriatric, and general rehabilitation populations.\n\nLimitations\nThe survey provides quantitative data about what is done to assess balance, but does not explain the factors influencing current practice.\n\nConclusions\nMany important components of balance and standardized measures are regularly used by physical therapists to assess balance. Further research, however, is needed to understand the factors contributing to the relatively lower rates of assessing reactive control, the component of balance most directly responsible for avoiding a fall.","container-title":"Physical Therapy","DOI":"10.2522/ptj.20110063","ISSN":"0031-9023","issue":"11","journalAbbreviation":"Phys Ther","note":"PMID: 21868613\nPMCID: PMC3206229","page":"1583-1591","source":"PubMed Central","title":"Balance Assessment Practices and Use of Standardized Balance Measures Among Ontario Physical Therapists","volume":"91","author":[{"family":"Sibley","given":"Kathryn M."},{"family":"Straus","given":"Sharon E."},{"family":"Inness","given":"Elizabeth L."},{"family":"Salbach","given":"Nancy M."},{"family":"Jaglal","given":"Susan B."}],"issued":{"date-parts":[["2011",11]]}}}],"schema":"https://github.com/citation-style-language/schema/raw/master/csl-citation.json"} </w:instrText>
      </w:r>
      <w:r w:rsidRPr="008F79EE">
        <w:rPr>
          <w:rStyle w:val="citation-1661"/>
          <w:rFonts w:asciiTheme="minorHAnsi" w:hAnsiTheme="minorHAnsi" w:cstheme="minorHAnsi"/>
          <w:color w:val="000000"/>
          <w:sz w:val="22"/>
          <w:szCs w:val="22"/>
        </w:rPr>
        <w:fldChar w:fldCharType="separate"/>
      </w:r>
      <w:r w:rsidRPr="008F79EE">
        <w:rPr>
          <w:rStyle w:val="citation-1661"/>
          <w:rFonts w:asciiTheme="minorHAnsi" w:hAnsiTheme="minorHAnsi" w:cstheme="minorHAnsi"/>
          <w:noProof/>
          <w:color w:val="000000"/>
          <w:sz w:val="22"/>
          <w:szCs w:val="22"/>
        </w:rPr>
        <w:t>(Sibley et al., 2011b)</w:t>
      </w:r>
      <w:r w:rsidRPr="008F79EE">
        <w:rPr>
          <w:rStyle w:val="citation-1661"/>
          <w:rFonts w:asciiTheme="minorHAnsi" w:hAnsiTheme="minorHAnsi" w:cstheme="minorHAnsi"/>
          <w:color w:val="000000"/>
          <w:sz w:val="22"/>
          <w:szCs w:val="22"/>
        </w:rPr>
        <w:fldChar w:fldCharType="end"/>
      </w:r>
      <w:r w:rsidRPr="008F79EE">
        <w:rPr>
          <w:rFonts w:asciiTheme="minorHAnsi" w:hAnsiTheme="minorHAnsi" w:cstheme="minorHAnsi"/>
          <w:color w:val="000000"/>
          <w:sz w:val="22"/>
          <w:szCs w:val="22"/>
        </w:rPr>
        <w:t>.</w:t>
      </w:r>
      <w:r w:rsidRPr="008F79EE">
        <w:rPr>
          <w:rStyle w:val="apple-converted-space"/>
          <w:rFonts w:asciiTheme="minorHAnsi" w:hAnsiTheme="minorHAnsi" w:cstheme="minorHAnsi"/>
          <w:color w:val="000000"/>
          <w:sz w:val="22"/>
          <w:szCs w:val="22"/>
        </w:rPr>
        <w:t> </w:t>
      </w:r>
      <w:r w:rsidRPr="008F79EE">
        <w:rPr>
          <w:rStyle w:val="citation-1660"/>
          <w:rFonts w:asciiTheme="minorHAnsi" w:hAnsiTheme="minorHAnsi" w:cstheme="minorHAnsi"/>
          <w:color w:val="000000"/>
          <w:sz w:val="22"/>
          <w:szCs w:val="22"/>
        </w:rPr>
        <w:t>Ce manque de connaissance est d'ailleurs objectivé par les praticiens eux-mêmes, qui le perçoivent comme un frein majeur dans 43,2 % des cas</w:t>
      </w:r>
      <w:r w:rsidRPr="008F79EE">
        <w:rPr>
          <w:rFonts w:asciiTheme="minorHAnsi" w:hAnsiTheme="minorHAnsi" w:cstheme="minorHAnsi"/>
          <w:color w:val="000000"/>
          <w:sz w:val="22"/>
          <w:szCs w:val="22"/>
        </w:rPr>
        <w:t>.</w:t>
      </w:r>
    </w:p>
    <w:p w14:paraId="3707596A" w14:textId="2DD9239C" w:rsidR="008F79EE" w:rsidRDefault="008F79EE" w:rsidP="008F79EE">
      <w:pPr>
        <w:pStyle w:val="Titre3"/>
      </w:pPr>
      <w:bookmarkStart w:id="86" w:name="_Toc221704649"/>
      <w:r>
        <w:lastRenderedPageBreak/>
        <w:t>Le cas du Mini-</w:t>
      </w:r>
      <w:proofErr w:type="spellStart"/>
      <w:r>
        <w:t>BESTest</w:t>
      </w:r>
      <w:bookmarkEnd w:id="86"/>
      <w:proofErr w:type="spellEnd"/>
    </w:p>
    <w:p w14:paraId="2FFE0D9A" w14:textId="1421B239" w:rsidR="008F79EE" w:rsidRPr="008F79EE" w:rsidRDefault="008F79EE" w:rsidP="008F79EE">
      <w:pPr>
        <w:pStyle w:val="NormalWeb"/>
        <w:spacing w:line="360" w:lineRule="auto"/>
        <w:jc w:val="both"/>
        <w:rPr>
          <w:rFonts w:asciiTheme="minorHAnsi" w:hAnsiTheme="minorHAnsi" w:cstheme="minorHAnsi"/>
          <w:color w:val="000000"/>
          <w:sz w:val="22"/>
          <w:szCs w:val="22"/>
        </w:rPr>
      </w:pPr>
      <w:r>
        <w:rPr>
          <w:color w:val="000000"/>
        </w:rPr>
        <w:tab/>
      </w:r>
      <w:r w:rsidRPr="008F79EE">
        <w:rPr>
          <w:rFonts w:asciiTheme="minorHAnsi" w:hAnsiTheme="minorHAnsi" w:cstheme="minorHAnsi"/>
          <w:color w:val="000000"/>
          <w:sz w:val="22"/>
          <w:szCs w:val="22"/>
        </w:rPr>
        <w:t>Le cas du Mini-</w:t>
      </w:r>
      <w:proofErr w:type="spellStart"/>
      <w:r w:rsidRPr="008F79EE">
        <w:rPr>
          <w:rFonts w:asciiTheme="minorHAnsi" w:hAnsiTheme="minorHAnsi" w:cstheme="minorHAnsi"/>
          <w:color w:val="000000"/>
          <w:sz w:val="22"/>
          <w:szCs w:val="22"/>
        </w:rPr>
        <w:t>BESTest</w:t>
      </w:r>
      <w:proofErr w:type="spellEnd"/>
      <w:r w:rsidRPr="008F79EE">
        <w:rPr>
          <w:rFonts w:asciiTheme="minorHAnsi" w:hAnsiTheme="minorHAnsi" w:cstheme="minorHAnsi"/>
          <w:color w:val="000000"/>
          <w:sz w:val="22"/>
          <w:szCs w:val="22"/>
        </w:rPr>
        <w:t xml:space="preserve"> illustre parfaitement la distance entre la recherche et le terrain. Bien que conçu par </w:t>
      </w:r>
      <w:proofErr w:type="spellStart"/>
      <w:r w:rsidRPr="008F79EE">
        <w:rPr>
          <w:rFonts w:asciiTheme="minorHAnsi" w:hAnsiTheme="minorHAnsi" w:cstheme="minorHAnsi"/>
          <w:color w:val="000000"/>
          <w:sz w:val="22"/>
          <w:szCs w:val="22"/>
        </w:rPr>
        <w:t>Franchignoni</w:t>
      </w:r>
      <w:proofErr w:type="spellEnd"/>
      <w:r w:rsidRPr="008F79EE">
        <w:rPr>
          <w:rStyle w:val="apple-converted-space"/>
          <w:rFonts w:asciiTheme="minorHAnsi" w:hAnsiTheme="minorHAnsi" w:cstheme="minorHAnsi"/>
          <w:color w:val="000000"/>
          <w:sz w:val="22"/>
          <w:szCs w:val="22"/>
        </w:rPr>
        <w:t> </w:t>
      </w:r>
      <w:r w:rsidR="00FA419F">
        <w:rPr>
          <w:rStyle w:val="apple-converted-space"/>
          <w:rFonts w:asciiTheme="minorHAnsi" w:hAnsiTheme="minorHAnsi" w:cstheme="minorHAnsi"/>
          <w:color w:val="000000"/>
          <w:sz w:val="22"/>
          <w:szCs w:val="22"/>
        </w:rPr>
        <w:t xml:space="preserve">et </w:t>
      </w:r>
      <w:proofErr w:type="spellStart"/>
      <w:r w:rsidR="00FA419F">
        <w:rPr>
          <w:rStyle w:val="apple-converted-space"/>
          <w:rFonts w:asciiTheme="minorHAnsi" w:hAnsiTheme="minorHAnsi" w:cstheme="minorHAnsi"/>
          <w:color w:val="000000"/>
          <w:sz w:val="22"/>
          <w:szCs w:val="22"/>
        </w:rPr>
        <w:t>Horak</w:t>
      </w:r>
      <w:proofErr w:type="spellEnd"/>
      <w:r w:rsidR="00FA419F">
        <w:rPr>
          <w:rStyle w:val="apple-converted-space"/>
          <w:rFonts w:asciiTheme="minorHAnsi" w:hAnsiTheme="minorHAnsi" w:cstheme="minorHAnsi"/>
          <w:color w:val="000000"/>
          <w:sz w:val="22"/>
          <w:szCs w:val="22"/>
        </w:rPr>
        <w:t xml:space="preserve"> </w:t>
      </w:r>
      <w:r w:rsidRPr="008F79EE">
        <w:rPr>
          <w:rStyle w:val="citation-1659"/>
          <w:rFonts w:asciiTheme="minorHAnsi" w:hAnsiTheme="minorHAnsi" w:cstheme="minorHAnsi"/>
          <w:color w:val="000000"/>
          <w:sz w:val="22"/>
          <w:szCs w:val="22"/>
        </w:rPr>
        <w:t>pour répondre aux contraintes cliniques en réduisant le temps de passation à 10-15 minutes</w:t>
      </w:r>
      <w:r w:rsidRPr="008F79EE">
        <w:rPr>
          <w:rStyle w:val="apple-converted-space"/>
          <w:rFonts w:asciiTheme="minorHAnsi" w:hAnsiTheme="minorHAnsi" w:cstheme="minorHAnsi"/>
          <w:color w:val="000000"/>
          <w:sz w:val="22"/>
          <w:szCs w:val="22"/>
        </w:rPr>
        <w:t> </w:t>
      </w:r>
      <w:r w:rsidR="00FA419F">
        <w:rPr>
          <w:rStyle w:val="apple-converted-space"/>
          <w:rFonts w:asciiTheme="minorHAnsi" w:hAnsiTheme="minorHAnsi" w:cstheme="minorHAnsi"/>
          <w:color w:val="000000"/>
          <w:sz w:val="22"/>
          <w:szCs w:val="22"/>
        </w:rPr>
        <w:t xml:space="preserve">(comparativement au 45-50 minutes pour le </w:t>
      </w:r>
      <w:proofErr w:type="spellStart"/>
      <w:r w:rsidR="00FA419F">
        <w:rPr>
          <w:rStyle w:val="apple-converted-space"/>
          <w:rFonts w:asciiTheme="minorHAnsi" w:hAnsiTheme="minorHAnsi" w:cstheme="minorHAnsi"/>
          <w:color w:val="000000"/>
          <w:sz w:val="22"/>
          <w:szCs w:val="22"/>
        </w:rPr>
        <w:t>BESTest</w:t>
      </w:r>
      <w:proofErr w:type="spellEnd"/>
      <w:r w:rsidR="00FA419F">
        <w:rPr>
          <w:rStyle w:val="apple-converted-space"/>
          <w:rFonts w:asciiTheme="minorHAnsi" w:hAnsiTheme="minorHAnsi" w:cstheme="minorHAnsi"/>
          <w:color w:val="000000"/>
          <w:sz w:val="22"/>
          <w:szCs w:val="22"/>
        </w:rPr>
        <w:t>)</w:t>
      </w:r>
      <w:r w:rsidRPr="008F79EE">
        <w:rPr>
          <w:rStyle w:val="citation-1658"/>
          <w:rFonts w:asciiTheme="minorHAnsi" w:hAnsiTheme="minorHAnsi" w:cstheme="minorHAnsi"/>
          <w:color w:val="000000"/>
          <w:sz w:val="22"/>
          <w:szCs w:val="22"/>
        </w:rPr>
        <w:t xml:space="preserve">, il reste marginal dans notre étude avec seulement 5,3 % d'utilisation systématique </w:t>
      </w:r>
      <w:r w:rsidRPr="008F79EE">
        <w:rPr>
          <w:rStyle w:val="citation-1658"/>
          <w:rFonts w:asciiTheme="minorHAnsi" w:hAnsiTheme="minorHAnsi" w:cstheme="minorHAnsi"/>
          <w:color w:val="000000"/>
          <w:sz w:val="22"/>
          <w:szCs w:val="22"/>
        </w:rPr>
        <w:fldChar w:fldCharType="begin"/>
      </w:r>
      <w:r w:rsidRPr="008F79EE">
        <w:rPr>
          <w:rStyle w:val="citation-1658"/>
          <w:rFonts w:asciiTheme="minorHAnsi" w:hAnsiTheme="minorHAnsi" w:cstheme="minorHAnsi"/>
          <w:color w:val="000000"/>
          <w:sz w:val="22"/>
          <w:szCs w:val="22"/>
        </w:rPr>
        <w:instrText xml:space="preserve"> ADDIN ZOTERO_ITEM CSL_CITATION {"citationID":"hQahuMYN","properties":{"formattedCitation":"(Franchignoni et al., 2010)","plainCitation":"(Franchignoni et al., 2010)","noteIndex":0},"citationItems":[{"id":213,"uris":["http://zotero.org/users/10583480/items/TRWHVHJQ"],"itemData":{"id":213,"type":"article-journal","abstract":"Objective\nTo improve, with the aid of psychometric analysis, the Balance Evaluation System’s Test (BESTest), a tool designed to analyse several postural control systems that may contribute to poor functional balance in adults.\n\nMethods\nWe examined performance of the BESTest in a convenience sample of 115 consecutive adult patients with diverse neurological diagnoses and disease severity, referred to rehabilitation for balance disorders. Factor (both explorative and confirmatory) and Rasch analysis were used to process the data in order to produce a new, reduced and coherent balance measurement tool.\n\nResults\nFactor analysis selected 24 out of the 36 original BESTest items likely to represent the unidimensional construct of ‘dynamic balance’. Rasch analysis was then used to: 1) improve the rating categories, and 2) delete 10 items (misfitting or showing local dependency). The model consisting of the remaining 14 tasks was verified with confirmatory factor analysis to meet the stringent requirements of modern measurement.\n\nConclusion\nThe new 14-item scale (dubbed mini-BESTest) focuses on dynamic balance, can be conducted in 10-15 minutes, and contains items belonging evenly to four of the six sections from the original BESTest. Further studies are needed to confirm the usefulness of the mini-BESTest in clinical settings.","container-title":"Journal of rehabilitation medicine : official journal of the UEMS European Board of Physical and Rehabilitation Medicine","DOI":"10.2340/16501977-0537","ISSN":"1650-1977","issue":"4","journalAbbreviation":"J Rehabil Med","note":"PMID: 20461334\nPMCID: PMC3228839","page":"323-331","source":"PubMed Central","title":"Using psychometric techniques to improve the Balance Evaluation System’s Test: the mini-BESTest","title-short":"Using psychometric techniques to improve the Balance Evaluation System’s Test","volume":"42","author":[{"family":"Franchignoni","given":"Franco"},{"family":"Horak","given":"Fay"},{"family":"Godi","given":"Marco"},{"family":"Nardone","given":"Antonio"},{"family":"Giordano","given":"Andrea"}],"issued":{"date-parts":[["2010",4]]}}}],"schema":"https://github.com/citation-style-language/schema/raw/master/csl-citation.json"} </w:instrText>
      </w:r>
      <w:r w:rsidRPr="008F79EE">
        <w:rPr>
          <w:rStyle w:val="citation-1658"/>
          <w:rFonts w:asciiTheme="minorHAnsi" w:hAnsiTheme="minorHAnsi" w:cstheme="minorHAnsi"/>
          <w:color w:val="000000"/>
          <w:sz w:val="22"/>
          <w:szCs w:val="22"/>
        </w:rPr>
        <w:fldChar w:fldCharType="separate"/>
      </w:r>
      <w:r w:rsidRPr="008F79EE">
        <w:rPr>
          <w:rStyle w:val="citation-1658"/>
          <w:rFonts w:asciiTheme="minorHAnsi" w:hAnsiTheme="minorHAnsi" w:cstheme="minorHAnsi"/>
          <w:noProof/>
          <w:color w:val="000000"/>
          <w:sz w:val="22"/>
          <w:szCs w:val="22"/>
        </w:rPr>
        <w:t>(Franchignoni et al., 2010)</w:t>
      </w:r>
      <w:r w:rsidRPr="008F79EE">
        <w:rPr>
          <w:rStyle w:val="citation-1658"/>
          <w:rFonts w:asciiTheme="minorHAnsi" w:hAnsiTheme="minorHAnsi" w:cstheme="minorHAnsi"/>
          <w:color w:val="000000"/>
          <w:sz w:val="22"/>
          <w:szCs w:val="22"/>
        </w:rPr>
        <w:fldChar w:fldCharType="end"/>
      </w:r>
      <w:r w:rsidRPr="008F79EE">
        <w:rPr>
          <w:rFonts w:asciiTheme="minorHAnsi" w:hAnsiTheme="minorHAnsi" w:cstheme="minorHAnsi"/>
          <w:color w:val="000000"/>
          <w:sz w:val="22"/>
          <w:szCs w:val="22"/>
        </w:rPr>
        <w:t>.</w:t>
      </w:r>
    </w:p>
    <w:p w14:paraId="405C9B78" w14:textId="5359A69D" w:rsidR="008F79EE" w:rsidRDefault="008F79EE" w:rsidP="008F79EE">
      <w:pPr>
        <w:pStyle w:val="NormalWeb"/>
        <w:spacing w:line="360" w:lineRule="auto"/>
        <w:jc w:val="both"/>
        <w:rPr>
          <w:rFonts w:asciiTheme="minorHAnsi" w:hAnsiTheme="minorHAnsi" w:cstheme="minorHAnsi"/>
          <w:color w:val="000000"/>
          <w:sz w:val="22"/>
          <w:szCs w:val="22"/>
        </w:rPr>
      </w:pPr>
      <w:r w:rsidRPr="008F79EE">
        <w:rPr>
          <w:rStyle w:val="citation-1657"/>
          <w:rFonts w:asciiTheme="minorHAnsi" w:hAnsiTheme="minorHAnsi" w:cstheme="minorHAnsi"/>
          <w:color w:val="000000"/>
          <w:sz w:val="22"/>
          <w:szCs w:val="22"/>
        </w:rPr>
        <w:t>Ce résultat est paradoxal au regard du manque de temps cité comme premier facteur limitant par 56,8 % des kinésithérapeutes interrogés</w:t>
      </w:r>
      <w:r w:rsidRPr="008F79EE">
        <w:rPr>
          <w:rFonts w:asciiTheme="minorHAnsi" w:hAnsiTheme="minorHAnsi" w:cstheme="minorHAnsi"/>
          <w:color w:val="000000"/>
          <w:sz w:val="22"/>
          <w:szCs w:val="22"/>
        </w:rPr>
        <w:t>. Cette situation corrobore les observations faites dans la littérature</w:t>
      </w:r>
      <w:r w:rsidRPr="008F79EE">
        <w:rPr>
          <w:rStyle w:val="citation-1656"/>
          <w:rFonts w:asciiTheme="minorHAnsi" w:hAnsiTheme="minorHAnsi" w:cstheme="minorHAnsi"/>
          <w:color w:val="000000"/>
          <w:sz w:val="22"/>
          <w:szCs w:val="22"/>
        </w:rPr>
        <w:t xml:space="preserve"> suggérant que l'usage de tests validés et renforcés reste dépendant d'un niveau de formation accrue </w:t>
      </w:r>
      <w:r w:rsidRPr="008F79EE">
        <w:rPr>
          <w:rStyle w:val="citation-1656"/>
          <w:rFonts w:asciiTheme="minorHAnsi" w:hAnsiTheme="minorHAnsi" w:cstheme="minorHAnsi"/>
          <w:color w:val="000000"/>
          <w:sz w:val="22"/>
          <w:szCs w:val="22"/>
        </w:rPr>
        <w:fldChar w:fldCharType="begin"/>
      </w:r>
      <w:r w:rsidRPr="008F79EE">
        <w:rPr>
          <w:rStyle w:val="citation-1656"/>
          <w:rFonts w:asciiTheme="minorHAnsi" w:hAnsiTheme="minorHAnsi" w:cstheme="minorHAnsi"/>
          <w:color w:val="000000"/>
          <w:sz w:val="22"/>
          <w:szCs w:val="22"/>
        </w:rPr>
        <w:instrText xml:space="preserve"> ADDIN ZOTERO_ITEM CSL_CITATION {"citationID":"SSZfBInk","properties":{"formattedCitation":"(Marques et al., 2016)","plainCitation":"(Marques et al., 2016)","noteIndex":0},"citationItems":[{"id":542,"uris":["http://zotero.org/users/10583480/items/X3EX57D3"],"itemData":{"id":542,"type":"article-journal","abstract":"OBJECTIVES: To assess the reliability, validity, and ability to identify fall status of the Balance Evaluation Systems Test (BESTest), Mini-BESTest, and Brief-BESTest, compared with the Berg Balance Scale (BBS), in older people living in the community.\nDESIGN: Cross-sectional.\nSETTING: Community centers.\nPARTICIPANTS: Older adults (N=122; mean age ± SD, 76±9y).\nINTERVENTIONS: Not applicable.\nMAIN OUTCOME MEASURES: Participants reported on falls history in the preceding year and completed the Activities-Specific Balance Confidence (ABC) Scale. The BBS, BESTest, and the Five Times Sit-To-Stand Test were administered. Interrater (2 physiotherapists) and test-retest relative (48-72h) and absolute reliabilities were explored with the intraclass correlation coefficient (ICC) equation (2,1) and the Bland and Altman method. Minimal detectable changes at the 95% confidence level (MDC95) were established. Validity was assessed by correlating the balance tests with each other and with the ABC Scale (Spearman correlation coefficients-ρ). Receiver operating characteristics assessed the ability of each balance test to differentiate between people with and without a history of falls.\nRESULTS: All balance tests presented good to excellent interrater (ICC=.71-.93) and test-retest (ICC=.50-.82) relative reliability, with no evidence of bias. MDC95 values were 4.6, 9, 3.8, and 4.1 points for the BBS, BESTest, Mini-BESTest, and Brief-BESTest, respectively. All tests were significantly correlated with each other (ρ=.83-.96) and with the ABC Scale (ρ=.46-.61). Acceptable ability to identify fall status (areas under the curve, .71-.78) was found for all tests. Cutoff points were 48.5, 82, 19.5, and 12.5 points for the BBS, BESTest, Mini-BESTest, and Brief-BESTest, respectively.\nCONCLUSIONS: All balance tests are reliable, valid, and able to identify fall status in older people living in the community. Therefore, the choice of which test to use will depend on the level of balance impairment, purpose, and time availability.","container-title":"Archives of Physical Medicine and Rehabilitation","DOI":"10.1016/j.apmr.2016.07.011","ISSN":"1532-821X","issue":"12","journalAbbreviation":"Arch Phys Med Rehabil","language":"eng","note":"PMID: 27497826","page":"2166-2173.e1","source":"PubMed","title":"Reliability, Validity, and Ability to Identify Fall Status of the Balance Evaluation Systems Test, Mini-Balance Evaluation Systems Test, and Brief-Balance Evaluation Systems Test in Older People Living in the Community","volume":"97","author":[{"family":"Marques","given":"Alda"},{"family":"Almeida","given":"Sara"},{"family":"Carvalho","given":"Joana"},{"family":"Cruz","given":"Joana"},{"family":"Oliveira","given":"Ana"},{"family":"Jácome","given":"Cristina"}],"issued":{"date-parts":[["2016",12]]}}}],"schema":"https://github.com/citation-style-language/schema/raw/master/csl-citation.json"} </w:instrText>
      </w:r>
      <w:r w:rsidRPr="008F79EE">
        <w:rPr>
          <w:rStyle w:val="citation-1656"/>
          <w:rFonts w:asciiTheme="minorHAnsi" w:hAnsiTheme="minorHAnsi" w:cstheme="minorHAnsi"/>
          <w:color w:val="000000"/>
          <w:sz w:val="22"/>
          <w:szCs w:val="22"/>
        </w:rPr>
        <w:fldChar w:fldCharType="separate"/>
      </w:r>
      <w:r w:rsidRPr="008F79EE">
        <w:rPr>
          <w:rStyle w:val="citation-1656"/>
          <w:rFonts w:asciiTheme="minorHAnsi" w:hAnsiTheme="minorHAnsi" w:cstheme="minorHAnsi"/>
          <w:noProof/>
          <w:color w:val="000000"/>
          <w:sz w:val="22"/>
          <w:szCs w:val="22"/>
        </w:rPr>
        <w:t>(Marques et al., 2016)</w:t>
      </w:r>
      <w:r w:rsidRPr="008F79EE">
        <w:rPr>
          <w:rStyle w:val="citation-1656"/>
          <w:rFonts w:asciiTheme="minorHAnsi" w:hAnsiTheme="minorHAnsi" w:cstheme="minorHAnsi"/>
          <w:color w:val="000000"/>
          <w:sz w:val="22"/>
          <w:szCs w:val="22"/>
        </w:rPr>
        <w:fldChar w:fldCharType="end"/>
      </w:r>
      <w:r w:rsidRPr="008F79EE">
        <w:rPr>
          <w:rFonts w:asciiTheme="minorHAnsi" w:hAnsiTheme="minorHAnsi" w:cstheme="minorHAnsi"/>
          <w:color w:val="000000"/>
          <w:sz w:val="22"/>
          <w:szCs w:val="22"/>
        </w:rPr>
        <w:t>.</w:t>
      </w:r>
      <w:r w:rsidRPr="008F79EE">
        <w:rPr>
          <w:rStyle w:val="apple-converted-space"/>
          <w:rFonts w:asciiTheme="minorHAnsi" w:hAnsiTheme="minorHAnsi" w:cstheme="minorHAnsi"/>
          <w:color w:val="000000"/>
          <w:sz w:val="22"/>
          <w:szCs w:val="22"/>
        </w:rPr>
        <w:t> </w:t>
      </w:r>
      <w:r w:rsidRPr="008F79EE">
        <w:rPr>
          <w:rStyle w:val="citation-1655"/>
          <w:rFonts w:asciiTheme="minorHAnsi" w:hAnsiTheme="minorHAnsi" w:cstheme="minorHAnsi"/>
          <w:color w:val="000000"/>
          <w:sz w:val="22"/>
          <w:szCs w:val="22"/>
        </w:rPr>
        <w:t>L'attachement à des échelles plus anciennes comme celle de Berg</w:t>
      </w:r>
      <w:r w:rsidRPr="008F79EE">
        <w:rPr>
          <w:rStyle w:val="apple-converted-space"/>
          <w:rFonts w:asciiTheme="minorHAnsi" w:hAnsiTheme="minorHAnsi" w:cstheme="minorHAnsi"/>
          <w:color w:val="000000"/>
          <w:sz w:val="22"/>
          <w:szCs w:val="22"/>
        </w:rPr>
        <w:t> </w:t>
      </w:r>
      <w:r w:rsidRPr="008F79EE">
        <w:rPr>
          <w:rStyle w:val="citation-1654"/>
          <w:rFonts w:asciiTheme="minorHAnsi" w:hAnsiTheme="minorHAnsi" w:cstheme="minorHAnsi"/>
          <w:color w:val="000000"/>
          <w:sz w:val="22"/>
          <w:szCs w:val="22"/>
        </w:rPr>
        <w:t>ou de Tinetti</w:t>
      </w:r>
      <w:r w:rsidRPr="008F79EE">
        <w:rPr>
          <w:rFonts w:asciiTheme="minorHAnsi" w:hAnsiTheme="minorHAnsi" w:cstheme="minorHAnsi"/>
          <w:color w:val="000000"/>
          <w:sz w:val="22"/>
          <w:szCs w:val="22"/>
        </w:rPr>
        <w:t xml:space="preserve">, malgré leurs limites comme l'effet plafond, témoigne d'une certaine inertie des pratiques professionnelles face aux nouveaux outils de compromis validés par la littérature </w:t>
      </w:r>
      <w:r w:rsidRPr="008F79EE">
        <w:rPr>
          <w:rFonts w:asciiTheme="minorHAnsi" w:hAnsiTheme="minorHAnsi" w:cstheme="minorHAnsi"/>
          <w:color w:val="000000"/>
          <w:sz w:val="22"/>
          <w:szCs w:val="22"/>
        </w:rPr>
        <w:fldChar w:fldCharType="begin"/>
      </w:r>
      <w:r w:rsidRPr="008F79EE">
        <w:rPr>
          <w:rFonts w:asciiTheme="minorHAnsi" w:hAnsiTheme="minorHAnsi" w:cstheme="minorHAnsi"/>
          <w:color w:val="000000"/>
          <w:sz w:val="22"/>
          <w:szCs w:val="22"/>
        </w:rPr>
        <w:instrText xml:space="preserve"> ADDIN ZOTERO_ITEM CSL_CITATION {"citationID":"joXVDjGi","properties":{"formattedCitation":"(Sibley, Beauchamp, Van Ooteghem, et al., 2015)","plainCitation":"(Sibley, Beauchamp, Van Ooteghem, et al., 2015)","noteIndex":0},"citationItems":[{"id":156,"uris":["http://zotero.org/users/10583480/items/PDTGEDVF"],"itemData":{"id":156,"type":"article-journal","abstract":"OBJECTIVE: To identify components of postural control included in standardized balance measures for adult populations.\nDATA SOURCES: Electronic searches of MEDLINE, EMBASE, and CINAHL databases using keyword combinations of postural balance/equilibrium, psychometrics/reproducibility of results/predictive value of tests/validation studies, instrument construction/instrument validation, geriatric assessment/disability evaluation, gray literature, and hand searches.\nSTUDY SELECTION: Inclusion criteria were measures with a stated objective to assess balance, adult populations (18y and older), at least 1 psychometric evaluation, 1 standing task, a standardized protocol and evaluation criteria, and published in English. Two reviewers independently identified studies for inclusion. Sixty-six measures were included.\nDATA EXTRACTION: A research assistant extracted descriptive characteristics and 2 reviewers independently coded components of balance in each measure using the Systems Framework for Postural Control, a widely recognized model of balance.\nDATA SYNTHESIS: Components of balance evaluated in these measures were underlying motor systems (100% of measures), anticipatory postural control (71%), dynamic stability (67%), static stability (64%), sensory integration (48%), functional stability limits (27%), reactive postural control (23%), cognitive influences (17%), and verticality (8%). Thirty-four measures evaluated 3 or fewer components of balance, and 1 measure-the Balance Evaluation Systems Test-evaluated all components of balance.\nCONCLUSIONS: Several standardized balance measures provide only partial information on postural control and omit important components of balance related to avoiding falls. As such, the choice of measure(s) may limit the overall interpretation of an individual's balance ability. Continued work is necessary to increase the implementation of comprehensive balance assessment in research and practice.","container-title":"Archives of Physical Medicine and Rehabilitation","DOI":"10.1016/j.apmr.2014.06.021","ISSN":"1532-821X","issue":"1","journalAbbreviation":"Arch Phys Med Rehabil","language":"eng","note":"PMID: 25073007","page":"122-132.e29","source":"PubMed","title":"Using the systems framework for postural control to analyze the components of balance evaluated in standardized balance measures: a scoping review","title-short":"Using the systems framework for postural control to analyze the components of balance evaluated in standardized balance measures","volume":"96","author":[{"family":"Sibley","given":"Kathryn M."},{"family":"Beauchamp","given":"Marla K."},{"family":"Van Ooteghem","given":"Karen"},{"family":"Straus","given":"Sharon E."},{"family":"Jaglal","given":"Susan B."}],"issued":{"date-parts":[["2015",1]]}}}],"schema":"https://github.com/citation-style-language/schema/raw/master/csl-citation.json"} </w:instrText>
      </w:r>
      <w:r w:rsidRPr="008F79EE">
        <w:rPr>
          <w:rFonts w:asciiTheme="minorHAnsi" w:hAnsiTheme="minorHAnsi" w:cstheme="minorHAnsi"/>
          <w:color w:val="000000"/>
          <w:sz w:val="22"/>
          <w:szCs w:val="22"/>
        </w:rPr>
        <w:fldChar w:fldCharType="separate"/>
      </w:r>
      <w:r w:rsidRPr="008F79EE">
        <w:rPr>
          <w:rFonts w:asciiTheme="minorHAnsi" w:hAnsiTheme="minorHAnsi" w:cstheme="minorHAnsi"/>
          <w:noProof/>
          <w:color w:val="000000"/>
          <w:sz w:val="22"/>
          <w:szCs w:val="22"/>
        </w:rPr>
        <w:t>(Sibley, Beauchamp, Van Ooteghem, et al., 2015)</w:t>
      </w:r>
      <w:r w:rsidRPr="008F79EE">
        <w:rPr>
          <w:rFonts w:asciiTheme="minorHAnsi" w:hAnsiTheme="minorHAnsi" w:cstheme="minorHAnsi"/>
          <w:color w:val="000000"/>
          <w:sz w:val="22"/>
          <w:szCs w:val="22"/>
        </w:rPr>
        <w:fldChar w:fldCharType="end"/>
      </w:r>
      <w:r w:rsidRPr="008F79EE">
        <w:rPr>
          <w:rFonts w:asciiTheme="minorHAnsi" w:hAnsiTheme="minorHAnsi" w:cstheme="minorHAnsi"/>
          <w:color w:val="000000"/>
          <w:sz w:val="22"/>
          <w:szCs w:val="22"/>
        </w:rPr>
        <w:t>.</w:t>
      </w:r>
    </w:p>
    <w:p w14:paraId="726EB6F5" w14:textId="77777777" w:rsidR="00AE7882" w:rsidRDefault="00AE7882" w:rsidP="008F79EE">
      <w:pPr>
        <w:pStyle w:val="NormalWeb"/>
        <w:spacing w:line="360" w:lineRule="auto"/>
        <w:jc w:val="both"/>
        <w:rPr>
          <w:rFonts w:asciiTheme="minorHAnsi" w:hAnsiTheme="minorHAnsi" w:cstheme="minorHAnsi"/>
          <w:color w:val="000000"/>
          <w:sz w:val="22"/>
          <w:szCs w:val="22"/>
        </w:rPr>
      </w:pPr>
    </w:p>
    <w:p w14:paraId="600C7B74" w14:textId="5D64CC25" w:rsidR="008C100D" w:rsidRPr="00AE7882" w:rsidRDefault="008C100D" w:rsidP="00AE7882">
      <w:pPr>
        <w:pStyle w:val="Titre2"/>
      </w:pPr>
      <w:bookmarkStart w:id="87" w:name="_Toc221704650"/>
      <w:r w:rsidRPr="00AE7882">
        <w:t>La formation</w:t>
      </w:r>
      <w:bookmarkEnd w:id="87"/>
    </w:p>
    <w:p w14:paraId="59E8F10C"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L'analyse de nos résultats suggère que l'obstacle à une évaluation exhaustive de l'équilibre n'est pas uniquement logistique, mais également lié à l'intégration des modèles théoriques et à l'accès à la formation spécialisée.</w:t>
      </w:r>
    </w:p>
    <w:p w14:paraId="58744661" w14:textId="306936A5" w:rsidR="008C100D" w:rsidRPr="00207558" w:rsidRDefault="008C100D" w:rsidP="00B0318E">
      <w:pPr>
        <w:pStyle w:val="Titre3"/>
      </w:pPr>
      <w:r w:rsidRPr="00207558">
        <w:t xml:space="preserve"> </w:t>
      </w:r>
      <w:bookmarkStart w:id="88" w:name="_Toc221704651"/>
      <w:r w:rsidRPr="00207558">
        <w:t xml:space="preserve">L'impact de la méconnaissance du cadre théorique de </w:t>
      </w:r>
      <w:proofErr w:type="spellStart"/>
      <w:r w:rsidRPr="00207558">
        <w:t>Horak</w:t>
      </w:r>
      <w:bookmarkEnd w:id="88"/>
      <w:proofErr w:type="spellEnd"/>
    </w:p>
    <w:p w14:paraId="7FBCDC17"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Style w:val="citation-637"/>
          <w:rFonts w:asciiTheme="minorHAnsi" w:hAnsiTheme="minorHAnsi" w:cstheme="minorHAnsi"/>
          <w:color w:val="000000"/>
          <w:sz w:val="22"/>
          <w:szCs w:val="22"/>
        </w:rPr>
        <w:t xml:space="preserve">Le constat le plus frappant de cette enquête est la méconnaissance quasi totale du modèle de </w:t>
      </w:r>
      <w:proofErr w:type="spellStart"/>
      <w:r w:rsidRPr="008D277B">
        <w:rPr>
          <w:rStyle w:val="citation-637"/>
          <w:rFonts w:asciiTheme="minorHAnsi" w:hAnsiTheme="minorHAnsi" w:cstheme="minorHAnsi"/>
          <w:color w:val="000000"/>
          <w:sz w:val="22"/>
          <w:szCs w:val="22"/>
        </w:rPr>
        <w:t>Horak</w:t>
      </w:r>
      <w:proofErr w:type="spellEnd"/>
      <w:r w:rsidRPr="008D277B">
        <w:rPr>
          <w:rStyle w:val="citation-637"/>
          <w:rFonts w:asciiTheme="minorHAnsi" w:hAnsiTheme="minorHAnsi" w:cstheme="minorHAnsi"/>
          <w:color w:val="000000"/>
          <w:sz w:val="22"/>
          <w:szCs w:val="22"/>
        </w:rPr>
        <w:t xml:space="preserve"> (</w:t>
      </w:r>
      <w:proofErr w:type="spellStart"/>
      <w:r w:rsidRPr="008D277B">
        <w:rPr>
          <w:rStyle w:val="citation-637"/>
          <w:rFonts w:asciiTheme="minorHAnsi" w:hAnsiTheme="minorHAnsi" w:cstheme="minorHAnsi"/>
          <w:i/>
          <w:iCs/>
          <w:color w:val="000000"/>
          <w:sz w:val="22"/>
          <w:szCs w:val="22"/>
        </w:rPr>
        <w:t>Systems</w:t>
      </w:r>
      <w:proofErr w:type="spellEnd"/>
      <w:r w:rsidRPr="008D277B">
        <w:rPr>
          <w:rStyle w:val="citation-637"/>
          <w:rFonts w:asciiTheme="minorHAnsi" w:hAnsiTheme="minorHAnsi" w:cstheme="minorHAnsi"/>
          <w:i/>
          <w:iCs/>
          <w:color w:val="000000"/>
          <w:sz w:val="22"/>
          <w:szCs w:val="22"/>
        </w:rPr>
        <w:t xml:space="preserve"> Framework for Postural Control</w:t>
      </w:r>
      <w:r w:rsidRPr="00207558">
        <w:rPr>
          <w:rStyle w:val="citation-637"/>
          <w:rFonts w:asciiTheme="minorHAnsi" w:hAnsiTheme="minorHAnsi" w:cstheme="minorHAnsi"/>
          <w:color w:val="000000"/>
          <w:sz w:val="22"/>
          <w:szCs w:val="22"/>
        </w:rPr>
        <w:t>), ignoré par</w:t>
      </w:r>
      <w:r w:rsidRPr="00207558">
        <w:rPr>
          <w:rStyle w:val="apple-converted-space"/>
          <w:rFonts w:asciiTheme="minorHAnsi" w:hAnsiTheme="minorHAnsi" w:cstheme="minorHAnsi"/>
          <w:color w:val="000000"/>
          <w:sz w:val="22"/>
          <w:szCs w:val="22"/>
        </w:rPr>
        <w:t> </w:t>
      </w:r>
      <w:r w:rsidRPr="00207558">
        <w:rPr>
          <w:rStyle w:val="citation-637"/>
          <w:rFonts w:asciiTheme="minorHAnsi" w:hAnsiTheme="minorHAnsi" w:cstheme="minorHAnsi"/>
          <w:color w:val="000000"/>
          <w:sz w:val="22"/>
          <w:szCs w:val="22"/>
        </w:rPr>
        <w:t>89,2 % des répondants</w:t>
      </w:r>
      <w:r w:rsidRPr="00207558">
        <w:rPr>
          <w:rFonts w:asciiTheme="minorHAnsi" w:hAnsiTheme="minorHAnsi" w:cstheme="minorHAnsi"/>
          <w:color w:val="000000"/>
          <w:sz w:val="22"/>
          <w:szCs w:val="22"/>
        </w:rPr>
        <w:t>.</w:t>
      </w:r>
      <w:r w:rsidRPr="00207558">
        <w:rPr>
          <w:rStyle w:val="apple-converted-space"/>
          <w:rFonts w:asciiTheme="minorHAnsi" w:hAnsiTheme="minorHAnsi" w:cstheme="minorHAnsi"/>
          <w:color w:val="000000"/>
          <w:sz w:val="22"/>
          <w:szCs w:val="22"/>
        </w:rPr>
        <w:t> </w:t>
      </w:r>
      <w:r w:rsidRPr="00207558">
        <w:rPr>
          <w:rStyle w:val="citation-636"/>
          <w:rFonts w:asciiTheme="minorHAnsi" w:hAnsiTheme="minorHAnsi" w:cstheme="minorHAnsi"/>
          <w:color w:val="000000"/>
          <w:sz w:val="22"/>
          <w:szCs w:val="22"/>
        </w:rPr>
        <w:t>Ce cadre théorique est pourtant le socle sur lequel repose le</w:t>
      </w:r>
      <w:r w:rsidRPr="00207558">
        <w:rPr>
          <w:rStyle w:val="apple-converted-space"/>
          <w:rFonts w:asciiTheme="minorHAnsi" w:hAnsiTheme="minorHAnsi" w:cstheme="minorHAnsi"/>
          <w:color w:val="000000"/>
          <w:sz w:val="22"/>
          <w:szCs w:val="22"/>
        </w:rPr>
        <w:t> </w:t>
      </w:r>
      <w:proofErr w:type="spellStart"/>
      <w:r w:rsidRPr="00207558">
        <w:rPr>
          <w:rStyle w:val="citation-636"/>
          <w:rFonts w:asciiTheme="minorHAnsi" w:hAnsiTheme="minorHAnsi" w:cstheme="minorHAnsi"/>
          <w:color w:val="000000"/>
          <w:sz w:val="22"/>
          <w:szCs w:val="22"/>
        </w:rPr>
        <w:t>BESTest</w:t>
      </w:r>
      <w:proofErr w:type="spellEnd"/>
      <w:r w:rsidRPr="00207558">
        <w:rPr>
          <w:rStyle w:val="citation-636"/>
          <w:rFonts w:asciiTheme="minorHAnsi" w:hAnsiTheme="minorHAnsi" w:cstheme="minorHAnsi"/>
          <w:color w:val="000000"/>
          <w:sz w:val="22"/>
          <w:szCs w:val="22"/>
        </w:rPr>
        <w:t>, seul</w:t>
      </w:r>
      <w:r w:rsidRPr="008D277B">
        <w:rPr>
          <w:rStyle w:val="citation-636"/>
          <w:rFonts w:asciiTheme="minorHAnsi" w:hAnsiTheme="minorHAnsi" w:cstheme="minorHAnsi"/>
          <w:color w:val="000000"/>
          <w:sz w:val="22"/>
          <w:szCs w:val="22"/>
        </w:rPr>
        <w:t xml:space="preserve"> outil capable d'explorer de manière systémique les neuf sous-composantes du maintien postural</w:t>
      </w:r>
      <w:r w:rsidRPr="008D277B">
        <w:rPr>
          <w:rFonts w:asciiTheme="minorHAnsi" w:hAnsiTheme="minorHAnsi" w:cstheme="minorHAnsi"/>
          <w:color w:val="000000"/>
          <w:sz w:val="22"/>
          <w:szCs w:val="22"/>
        </w:rPr>
        <w:t>.</w:t>
      </w:r>
    </w:p>
    <w:p w14:paraId="0B544AEE" w14:textId="7B7269D7" w:rsidR="008C100D" w:rsidRPr="00207558" w:rsidRDefault="008C100D" w:rsidP="008D277B">
      <w:pPr>
        <w:pStyle w:val="NormalWeb"/>
        <w:spacing w:line="360" w:lineRule="auto"/>
        <w:jc w:val="both"/>
        <w:rPr>
          <w:rFonts w:asciiTheme="minorHAnsi" w:hAnsiTheme="minorHAnsi" w:cstheme="minorHAnsi"/>
          <w:color w:val="000000"/>
          <w:sz w:val="22"/>
          <w:szCs w:val="22"/>
        </w:rPr>
      </w:pPr>
      <w:r w:rsidRPr="008D277B">
        <w:rPr>
          <w:rStyle w:val="citation-635"/>
          <w:rFonts w:asciiTheme="minorHAnsi" w:eastAsiaTheme="majorEastAsia" w:hAnsiTheme="minorHAnsi" w:cstheme="minorHAnsi"/>
          <w:color w:val="000000"/>
          <w:sz w:val="22"/>
          <w:szCs w:val="22"/>
        </w:rPr>
        <w:t>Cette absence de culture théorique autour du modèle</w:t>
      </w:r>
      <w:r w:rsidR="00207558">
        <w:rPr>
          <w:rStyle w:val="citation-635"/>
          <w:rFonts w:asciiTheme="minorHAnsi" w:eastAsiaTheme="majorEastAsia" w:hAnsiTheme="minorHAnsi" w:cstheme="minorHAnsi"/>
          <w:color w:val="000000"/>
          <w:sz w:val="22"/>
          <w:szCs w:val="22"/>
        </w:rPr>
        <w:t xml:space="preserve"> </w:t>
      </w:r>
      <w:r w:rsidR="00271111">
        <w:rPr>
          <w:rStyle w:val="citation-635"/>
          <w:rFonts w:asciiTheme="minorHAnsi" w:eastAsiaTheme="majorEastAsia" w:hAnsiTheme="minorHAnsi" w:cstheme="minorHAnsi"/>
          <w:color w:val="000000"/>
          <w:sz w:val="22"/>
          <w:szCs w:val="22"/>
        </w:rPr>
        <w:t xml:space="preserve">de </w:t>
      </w:r>
      <w:proofErr w:type="spellStart"/>
      <w:r w:rsidR="00271111">
        <w:rPr>
          <w:rStyle w:val="citation-635"/>
          <w:rFonts w:asciiTheme="minorHAnsi" w:eastAsiaTheme="majorEastAsia" w:hAnsiTheme="minorHAnsi" w:cstheme="minorHAnsi"/>
          <w:color w:val="000000"/>
          <w:sz w:val="22"/>
          <w:szCs w:val="22"/>
        </w:rPr>
        <w:t>Horak</w:t>
      </w:r>
      <w:proofErr w:type="spellEnd"/>
      <w:r w:rsidRPr="008D277B">
        <w:rPr>
          <w:rStyle w:val="citation-635"/>
          <w:rFonts w:asciiTheme="minorHAnsi" w:eastAsiaTheme="majorEastAsia" w:hAnsiTheme="minorHAnsi" w:cstheme="minorHAnsi"/>
          <w:color w:val="000000"/>
          <w:sz w:val="22"/>
          <w:szCs w:val="22"/>
        </w:rPr>
        <w:t xml:space="preserve"> explique pourquoi seulement</w:t>
      </w:r>
      <w:r w:rsidRPr="008D277B">
        <w:rPr>
          <w:rStyle w:val="apple-converted-space"/>
          <w:rFonts w:asciiTheme="minorHAnsi" w:hAnsiTheme="minorHAnsi" w:cstheme="minorHAnsi"/>
          <w:color w:val="000000"/>
          <w:sz w:val="22"/>
          <w:szCs w:val="22"/>
        </w:rPr>
        <w:t> </w:t>
      </w:r>
      <w:r w:rsidRPr="00271111">
        <w:rPr>
          <w:rStyle w:val="citation-635"/>
          <w:rFonts w:asciiTheme="minorHAnsi" w:eastAsiaTheme="majorEastAsia" w:hAnsiTheme="minorHAnsi" w:cstheme="minorHAnsi"/>
          <w:color w:val="000000"/>
          <w:sz w:val="22"/>
          <w:szCs w:val="22"/>
        </w:rPr>
        <w:t>2,6</w:t>
      </w:r>
      <w:r w:rsidRPr="00207558">
        <w:rPr>
          <w:rStyle w:val="citation-635"/>
          <w:rFonts w:asciiTheme="minorHAnsi" w:eastAsiaTheme="majorEastAsia" w:hAnsiTheme="minorHAnsi" w:cstheme="minorHAnsi"/>
          <w:color w:val="000000"/>
          <w:sz w:val="22"/>
          <w:szCs w:val="22"/>
        </w:rPr>
        <w:t xml:space="preserve"> % des </w:t>
      </w:r>
      <w:r w:rsidR="00207558" w:rsidRPr="00207558">
        <w:rPr>
          <w:rStyle w:val="citation-635"/>
          <w:rFonts w:asciiTheme="minorHAnsi" w:eastAsiaTheme="majorEastAsia" w:hAnsiTheme="minorHAnsi" w:cstheme="minorHAnsi"/>
          <w:color w:val="000000"/>
          <w:sz w:val="22"/>
          <w:szCs w:val="22"/>
        </w:rPr>
        <w:t>praticiens utilisent</w:t>
      </w:r>
      <w:r w:rsidRPr="00207558">
        <w:rPr>
          <w:rStyle w:val="citation-635"/>
          <w:rFonts w:asciiTheme="minorHAnsi" w:eastAsiaTheme="majorEastAsia" w:hAnsiTheme="minorHAnsi" w:cstheme="minorHAnsi"/>
          <w:color w:val="000000"/>
          <w:sz w:val="22"/>
          <w:szCs w:val="22"/>
        </w:rPr>
        <w:t xml:space="preserve"> le </w:t>
      </w:r>
      <w:proofErr w:type="spellStart"/>
      <w:r w:rsidRPr="00207558">
        <w:rPr>
          <w:rStyle w:val="citation-635"/>
          <w:rFonts w:asciiTheme="minorHAnsi" w:eastAsiaTheme="majorEastAsia" w:hAnsiTheme="minorHAnsi" w:cstheme="minorHAnsi"/>
          <w:color w:val="000000"/>
          <w:sz w:val="22"/>
          <w:szCs w:val="22"/>
        </w:rPr>
        <w:t>BESTest</w:t>
      </w:r>
      <w:proofErr w:type="spellEnd"/>
      <w:r w:rsidRPr="008D277B">
        <w:rPr>
          <w:rStyle w:val="citation-635"/>
          <w:rFonts w:asciiTheme="minorHAnsi" w:eastAsiaTheme="majorEastAsia" w:hAnsiTheme="minorHAnsi" w:cstheme="minorHAnsi"/>
          <w:color w:val="000000"/>
          <w:sz w:val="22"/>
          <w:szCs w:val="22"/>
        </w:rPr>
        <w:t xml:space="preserve"> de manière systématique</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634"/>
          <w:rFonts w:asciiTheme="minorHAnsi" w:eastAsiaTheme="majorEastAsia" w:hAnsiTheme="minorHAnsi" w:cstheme="minorHAnsi"/>
          <w:color w:val="000000"/>
          <w:sz w:val="22"/>
          <w:szCs w:val="22"/>
        </w:rPr>
        <w:t>Sans la maîtrise de ce référentiel, le clinicien risque de pratiquer une évaluation par "</w:t>
      </w:r>
      <w:r w:rsidR="00271111">
        <w:rPr>
          <w:rStyle w:val="citation-634"/>
          <w:rFonts w:asciiTheme="minorHAnsi" w:eastAsiaTheme="majorEastAsia" w:hAnsiTheme="minorHAnsi" w:cstheme="minorHAnsi"/>
          <w:color w:val="000000"/>
          <w:sz w:val="22"/>
          <w:szCs w:val="22"/>
        </w:rPr>
        <w:t>addition</w:t>
      </w:r>
      <w:r w:rsidRPr="008D277B">
        <w:rPr>
          <w:rStyle w:val="citation-634"/>
          <w:rFonts w:asciiTheme="minorHAnsi" w:eastAsiaTheme="majorEastAsia" w:hAnsiTheme="minorHAnsi" w:cstheme="minorHAnsi"/>
          <w:color w:val="000000"/>
          <w:sz w:val="22"/>
          <w:szCs w:val="22"/>
        </w:rPr>
        <w:t xml:space="preserve"> de tests" plutôt que par "analyse de systèmes"</w:t>
      </w:r>
      <w:r w:rsidRPr="008D277B">
        <w:rPr>
          <w:rFonts w:asciiTheme="minorHAnsi" w:hAnsiTheme="minorHAnsi" w:cstheme="minorHAnsi"/>
          <w:color w:val="000000"/>
          <w:sz w:val="22"/>
          <w:szCs w:val="22"/>
        </w:rPr>
        <w:t>.</w:t>
      </w:r>
      <w:r w:rsidRPr="008D277B">
        <w:rPr>
          <w:rStyle w:val="citation-633"/>
          <w:rFonts w:asciiTheme="minorHAnsi" w:eastAsiaTheme="majorEastAsia" w:hAnsiTheme="minorHAnsi" w:cstheme="minorHAnsi"/>
          <w:color w:val="000000"/>
          <w:sz w:val="22"/>
          <w:szCs w:val="22"/>
        </w:rPr>
        <w:t xml:space="preserve"> </w:t>
      </w:r>
      <w:r w:rsidR="00271111">
        <w:rPr>
          <w:rStyle w:val="citation-633"/>
          <w:rFonts w:asciiTheme="minorHAnsi" w:eastAsiaTheme="majorEastAsia" w:hAnsiTheme="minorHAnsi" w:cstheme="minorHAnsi"/>
          <w:color w:val="000000"/>
          <w:sz w:val="22"/>
          <w:szCs w:val="22"/>
        </w:rPr>
        <w:t xml:space="preserve">En méconnaissance du modèle de </w:t>
      </w:r>
      <w:proofErr w:type="spellStart"/>
      <w:r w:rsidR="00271111">
        <w:rPr>
          <w:rStyle w:val="citation-633"/>
          <w:rFonts w:asciiTheme="minorHAnsi" w:eastAsiaTheme="majorEastAsia" w:hAnsiTheme="minorHAnsi" w:cstheme="minorHAnsi"/>
          <w:color w:val="000000"/>
          <w:sz w:val="22"/>
          <w:szCs w:val="22"/>
        </w:rPr>
        <w:t>Horak</w:t>
      </w:r>
      <w:proofErr w:type="spellEnd"/>
      <w:r w:rsidR="00271111">
        <w:rPr>
          <w:rStyle w:val="citation-633"/>
          <w:rFonts w:asciiTheme="minorHAnsi" w:eastAsiaTheme="majorEastAsia" w:hAnsiTheme="minorHAnsi" w:cstheme="minorHAnsi"/>
          <w:color w:val="000000"/>
          <w:sz w:val="22"/>
          <w:szCs w:val="22"/>
        </w:rPr>
        <w:t>, i</w:t>
      </w:r>
      <w:r w:rsidRPr="008D277B">
        <w:rPr>
          <w:rStyle w:val="citation-633"/>
          <w:rFonts w:asciiTheme="minorHAnsi" w:eastAsiaTheme="majorEastAsia" w:hAnsiTheme="minorHAnsi" w:cstheme="minorHAnsi"/>
          <w:color w:val="000000"/>
          <w:sz w:val="22"/>
          <w:szCs w:val="22"/>
        </w:rPr>
        <w:t>l devient complexe pour le masseur-kinésithérapeute de percevoir la valeur ajoutée d'un diagnostic fonctionnel différencié par rapport à un simple dépistage global</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632"/>
          <w:rFonts w:asciiTheme="minorHAnsi" w:eastAsiaTheme="majorEastAsia" w:hAnsiTheme="minorHAnsi" w:cstheme="minorHAnsi"/>
          <w:color w:val="000000"/>
          <w:sz w:val="22"/>
          <w:szCs w:val="22"/>
        </w:rPr>
        <w:t>Ce manque de connaissance est d'ailleurs identifié comme un frein majeur à une évaluation complète par</w:t>
      </w:r>
      <w:r w:rsidRPr="008D277B">
        <w:rPr>
          <w:rStyle w:val="apple-converted-space"/>
          <w:rFonts w:asciiTheme="minorHAnsi" w:hAnsiTheme="minorHAnsi" w:cstheme="minorHAnsi"/>
          <w:color w:val="000000"/>
          <w:sz w:val="22"/>
          <w:szCs w:val="22"/>
        </w:rPr>
        <w:t> </w:t>
      </w:r>
      <w:r w:rsidRPr="00207558">
        <w:rPr>
          <w:rStyle w:val="citation-632"/>
          <w:rFonts w:asciiTheme="minorHAnsi" w:eastAsiaTheme="majorEastAsia" w:hAnsiTheme="minorHAnsi" w:cstheme="minorHAnsi"/>
          <w:color w:val="000000"/>
          <w:sz w:val="22"/>
          <w:szCs w:val="22"/>
        </w:rPr>
        <w:t>43,2 % des professionnels</w:t>
      </w:r>
      <w:r w:rsidRPr="00207558">
        <w:rPr>
          <w:rFonts w:asciiTheme="minorHAnsi" w:hAnsiTheme="minorHAnsi" w:cstheme="minorHAnsi"/>
          <w:color w:val="000000"/>
          <w:sz w:val="22"/>
          <w:szCs w:val="22"/>
        </w:rPr>
        <w:t>.</w:t>
      </w:r>
    </w:p>
    <w:p w14:paraId="3BCB4794" w14:textId="4FF05D20" w:rsidR="008C100D" w:rsidRPr="00207558" w:rsidRDefault="008C100D" w:rsidP="00B0318E">
      <w:pPr>
        <w:pStyle w:val="Titre3"/>
      </w:pPr>
      <w:bookmarkStart w:id="89" w:name="_Toc221704652"/>
      <w:r w:rsidRPr="00207558">
        <w:lastRenderedPageBreak/>
        <w:t>Analyse des besoins en formation</w:t>
      </w:r>
      <w:bookmarkEnd w:id="89"/>
    </w:p>
    <w:p w14:paraId="0085DEAC" w14:textId="533183BE" w:rsidR="008C100D" w:rsidRPr="008D277B" w:rsidRDefault="00207558" w:rsidP="008D277B">
      <w:pPr>
        <w:pStyle w:val="NormalWeb"/>
        <w:spacing w:line="360" w:lineRule="auto"/>
        <w:jc w:val="both"/>
        <w:rPr>
          <w:rFonts w:asciiTheme="minorHAnsi" w:hAnsiTheme="minorHAnsi" w:cstheme="minorHAnsi"/>
          <w:color w:val="000000"/>
          <w:sz w:val="22"/>
          <w:szCs w:val="22"/>
        </w:rPr>
      </w:pPr>
      <w:r>
        <w:rPr>
          <w:rStyle w:val="citation-631"/>
          <w:rFonts w:asciiTheme="minorHAnsi" w:eastAsiaTheme="majorEastAsia" w:hAnsiTheme="minorHAnsi" w:cstheme="minorHAnsi"/>
          <w:color w:val="000000"/>
          <w:sz w:val="22"/>
          <w:szCs w:val="22"/>
        </w:rPr>
        <w:tab/>
      </w:r>
      <w:r w:rsidR="008C100D" w:rsidRPr="008D277B">
        <w:rPr>
          <w:rStyle w:val="citation-631"/>
          <w:rFonts w:asciiTheme="minorHAnsi" w:eastAsiaTheme="majorEastAsia" w:hAnsiTheme="minorHAnsi" w:cstheme="minorHAnsi"/>
          <w:color w:val="000000"/>
          <w:sz w:val="22"/>
          <w:szCs w:val="22"/>
        </w:rPr>
        <w:t>Bien que l'expérience clinique de notre échantillon soit solide (plus de la moitié des praticiens exercent depuis plus de 10 ans), le cursus de formation initiale semble avoir laissé des lacunes</w:t>
      </w:r>
      <w:r w:rsidR="008C100D" w:rsidRPr="008D277B">
        <w:rPr>
          <w:rFonts w:asciiTheme="minorHAnsi" w:hAnsiTheme="minorHAnsi" w:cstheme="minorHAnsi"/>
          <w:color w:val="000000"/>
          <w:sz w:val="22"/>
          <w:szCs w:val="22"/>
        </w:rPr>
        <w:t>.</w:t>
      </w:r>
      <w:r w:rsidR="008C100D" w:rsidRPr="008D277B">
        <w:rPr>
          <w:rStyle w:val="apple-converted-space"/>
          <w:rFonts w:asciiTheme="minorHAnsi" w:hAnsiTheme="minorHAnsi" w:cstheme="minorHAnsi"/>
          <w:color w:val="000000"/>
          <w:sz w:val="22"/>
          <w:szCs w:val="22"/>
        </w:rPr>
        <w:t> </w:t>
      </w:r>
      <w:r w:rsidR="008C100D" w:rsidRPr="008D277B">
        <w:rPr>
          <w:rStyle w:val="citation-630"/>
          <w:rFonts w:asciiTheme="minorHAnsi" w:eastAsiaTheme="majorEastAsia" w:hAnsiTheme="minorHAnsi" w:cstheme="minorHAnsi"/>
          <w:color w:val="000000"/>
          <w:sz w:val="22"/>
          <w:szCs w:val="22"/>
        </w:rPr>
        <w:t>En effet, seuls</w:t>
      </w:r>
      <w:r w:rsidR="008C100D" w:rsidRPr="008D277B">
        <w:rPr>
          <w:rStyle w:val="apple-converted-space"/>
          <w:rFonts w:asciiTheme="minorHAnsi" w:hAnsiTheme="minorHAnsi" w:cstheme="minorHAnsi"/>
          <w:color w:val="000000"/>
          <w:sz w:val="22"/>
          <w:szCs w:val="22"/>
        </w:rPr>
        <w:t> </w:t>
      </w:r>
      <w:r w:rsidR="008C100D" w:rsidRPr="00207558">
        <w:rPr>
          <w:rStyle w:val="citation-630"/>
          <w:rFonts w:asciiTheme="minorHAnsi" w:eastAsiaTheme="majorEastAsia" w:hAnsiTheme="minorHAnsi" w:cstheme="minorHAnsi"/>
          <w:color w:val="000000"/>
          <w:sz w:val="22"/>
          <w:szCs w:val="22"/>
        </w:rPr>
        <w:t>32,4 % des répondants</w:t>
      </w:r>
      <w:r w:rsidR="008C100D" w:rsidRPr="008D277B">
        <w:rPr>
          <w:rStyle w:val="apple-converted-space"/>
          <w:rFonts w:asciiTheme="minorHAnsi" w:hAnsiTheme="minorHAnsi" w:cstheme="minorHAnsi"/>
          <w:color w:val="000000"/>
          <w:sz w:val="22"/>
          <w:szCs w:val="22"/>
        </w:rPr>
        <w:t> </w:t>
      </w:r>
      <w:r w:rsidR="008C100D" w:rsidRPr="008D277B">
        <w:rPr>
          <w:rStyle w:val="citation-630"/>
          <w:rFonts w:asciiTheme="minorHAnsi" w:eastAsiaTheme="majorEastAsia" w:hAnsiTheme="minorHAnsi" w:cstheme="minorHAnsi"/>
          <w:color w:val="000000"/>
          <w:sz w:val="22"/>
          <w:szCs w:val="22"/>
        </w:rPr>
        <w:t>rapportent avoir reçu une formation spécifique sur l'équilibre durant leurs études</w:t>
      </w:r>
      <w:r w:rsidR="008C100D" w:rsidRPr="008D277B">
        <w:rPr>
          <w:rFonts w:asciiTheme="minorHAnsi" w:hAnsiTheme="minorHAnsi" w:cstheme="minorHAnsi"/>
          <w:color w:val="000000"/>
          <w:sz w:val="22"/>
          <w:szCs w:val="22"/>
        </w:rPr>
        <w:t>.</w:t>
      </w:r>
    </w:p>
    <w:p w14:paraId="2ABC2129"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Style w:val="citation-629"/>
          <w:rFonts w:asciiTheme="minorHAnsi" w:eastAsiaTheme="majorEastAsia" w:hAnsiTheme="minorHAnsi" w:cstheme="minorHAnsi"/>
          <w:color w:val="000000"/>
          <w:sz w:val="22"/>
          <w:szCs w:val="22"/>
        </w:rPr>
        <w:t>Toutefois, nos données révèlent une forte appétence pour la montée en compétences :</w:t>
      </w:r>
      <w:r w:rsidRPr="008D277B">
        <w:rPr>
          <w:rStyle w:val="apple-converted-space"/>
          <w:rFonts w:asciiTheme="minorHAnsi" w:hAnsiTheme="minorHAnsi" w:cstheme="minorHAnsi"/>
          <w:color w:val="000000"/>
          <w:sz w:val="22"/>
          <w:szCs w:val="22"/>
        </w:rPr>
        <w:t> </w:t>
      </w:r>
      <w:r w:rsidRPr="00207558">
        <w:rPr>
          <w:rStyle w:val="citation-629"/>
          <w:rFonts w:asciiTheme="minorHAnsi" w:eastAsiaTheme="majorEastAsia" w:hAnsiTheme="minorHAnsi" w:cstheme="minorHAnsi"/>
          <w:color w:val="000000"/>
          <w:sz w:val="22"/>
          <w:szCs w:val="22"/>
        </w:rPr>
        <w:t>83,8 % des participants</w:t>
      </w:r>
      <w:r w:rsidRPr="008D277B">
        <w:rPr>
          <w:rStyle w:val="apple-converted-space"/>
          <w:rFonts w:asciiTheme="minorHAnsi" w:hAnsiTheme="minorHAnsi" w:cstheme="minorHAnsi"/>
          <w:color w:val="000000"/>
          <w:sz w:val="22"/>
          <w:szCs w:val="22"/>
        </w:rPr>
        <w:t> </w:t>
      </w:r>
      <w:r w:rsidRPr="008D277B">
        <w:rPr>
          <w:rStyle w:val="citation-629"/>
          <w:rFonts w:asciiTheme="minorHAnsi" w:eastAsiaTheme="majorEastAsia" w:hAnsiTheme="minorHAnsi" w:cstheme="minorHAnsi"/>
          <w:color w:val="000000"/>
          <w:sz w:val="22"/>
          <w:szCs w:val="22"/>
        </w:rPr>
        <w:t>se disent « plutôt » ou « très intéressés » par une formation complémentaire</w:t>
      </w:r>
      <w:r w:rsidRPr="008D277B">
        <w:rPr>
          <w:rFonts w:asciiTheme="minorHAnsi" w:hAnsiTheme="minorHAnsi" w:cstheme="minorHAnsi"/>
          <w:color w:val="000000"/>
          <w:sz w:val="22"/>
          <w:szCs w:val="22"/>
        </w:rPr>
        <w:t>. Cet intérêt se cristallise sur des thématiques critiques souvent délaissées en pratique courante :</w:t>
      </w:r>
    </w:p>
    <w:p w14:paraId="0E50EFF9" w14:textId="77777777" w:rsidR="008C100D" w:rsidRPr="008D277B" w:rsidRDefault="008C100D" w:rsidP="008D277B">
      <w:pPr>
        <w:pStyle w:val="NormalWeb"/>
        <w:numPr>
          <w:ilvl w:val="0"/>
          <w:numId w:val="31"/>
        </w:numPr>
        <w:spacing w:line="360" w:lineRule="auto"/>
        <w:jc w:val="both"/>
        <w:rPr>
          <w:rFonts w:asciiTheme="minorHAnsi" w:hAnsiTheme="minorHAnsi" w:cstheme="minorHAnsi"/>
          <w:color w:val="000000"/>
          <w:sz w:val="22"/>
          <w:szCs w:val="22"/>
        </w:rPr>
      </w:pPr>
      <w:r w:rsidRPr="008D277B">
        <w:rPr>
          <w:rStyle w:val="citation-628"/>
          <w:rFonts w:asciiTheme="minorHAnsi" w:eastAsiaTheme="majorEastAsia" w:hAnsiTheme="minorHAnsi" w:cstheme="minorHAnsi"/>
          <w:b/>
          <w:bCs/>
          <w:color w:val="000000"/>
          <w:sz w:val="22"/>
          <w:szCs w:val="22"/>
        </w:rPr>
        <w:t>Le contrôle postural réactif et la stabilité dynamique</w:t>
      </w:r>
      <w:r w:rsidRPr="008D277B">
        <w:rPr>
          <w:rStyle w:val="apple-converted-space"/>
          <w:rFonts w:asciiTheme="minorHAnsi" w:hAnsiTheme="minorHAnsi" w:cstheme="minorHAnsi"/>
          <w:color w:val="000000"/>
          <w:sz w:val="22"/>
          <w:szCs w:val="22"/>
        </w:rPr>
        <w:t> </w:t>
      </w:r>
      <w:r w:rsidRPr="008D277B">
        <w:rPr>
          <w:rStyle w:val="citation-628"/>
          <w:rFonts w:asciiTheme="minorHAnsi" w:eastAsiaTheme="majorEastAsia" w:hAnsiTheme="minorHAnsi" w:cstheme="minorHAnsi"/>
          <w:color w:val="000000"/>
          <w:sz w:val="22"/>
          <w:szCs w:val="22"/>
        </w:rPr>
        <w:t>: Ces composantes, essentielles pour réagir à une perturbation imprévue et éviter la chute, suscitent une intensité d'intérêt maximale chez les répondants</w:t>
      </w:r>
      <w:r w:rsidRPr="008D277B">
        <w:rPr>
          <w:rFonts w:asciiTheme="minorHAnsi" w:hAnsiTheme="minorHAnsi" w:cstheme="minorHAnsi"/>
          <w:color w:val="000000"/>
          <w:sz w:val="22"/>
          <w:szCs w:val="22"/>
        </w:rPr>
        <w:t>.</w:t>
      </w:r>
    </w:p>
    <w:p w14:paraId="5212ECC6" w14:textId="77777777" w:rsidR="008C100D" w:rsidRPr="008D277B" w:rsidRDefault="008C100D" w:rsidP="008D277B">
      <w:pPr>
        <w:pStyle w:val="NormalWeb"/>
        <w:numPr>
          <w:ilvl w:val="0"/>
          <w:numId w:val="31"/>
        </w:numPr>
        <w:spacing w:line="360" w:lineRule="auto"/>
        <w:jc w:val="both"/>
        <w:rPr>
          <w:rFonts w:asciiTheme="minorHAnsi" w:hAnsiTheme="minorHAnsi" w:cstheme="minorHAnsi"/>
          <w:color w:val="000000"/>
          <w:sz w:val="22"/>
          <w:szCs w:val="22"/>
        </w:rPr>
      </w:pPr>
      <w:r w:rsidRPr="008D277B">
        <w:rPr>
          <w:rStyle w:val="citation-627"/>
          <w:rFonts w:asciiTheme="minorHAnsi" w:hAnsiTheme="minorHAnsi" w:cstheme="minorHAnsi"/>
          <w:b/>
          <w:bCs/>
          <w:color w:val="000000"/>
          <w:sz w:val="22"/>
          <w:szCs w:val="22"/>
        </w:rPr>
        <w:t>L’intégration sensorielle et les influences cognitives</w:t>
      </w:r>
      <w:r w:rsidRPr="008D277B">
        <w:rPr>
          <w:rStyle w:val="apple-converted-space"/>
          <w:rFonts w:asciiTheme="minorHAnsi" w:hAnsiTheme="minorHAnsi" w:cstheme="minorHAnsi"/>
          <w:color w:val="000000"/>
          <w:sz w:val="22"/>
          <w:szCs w:val="22"/>
        </w:rPr>
        <w:t> </w:t>
      </w:r>
      <w:r w:rsidRPr="008D277B">
        <w:rPr>
          <w:rStyle w:val="citation-627"/>
          <w:rFonts w:asciiTheme="minorHAnsi" w:hAnsiTheme="minorHAnsi" w:cstheme="minorHAnsi"/>
          <w:color w:val="000000"/>
          <w:sz w:val="22"/>
          <w:szCs w:val="22"/>
        </w:rPr>
        <w:t>: Ces thématiques sont perçues comme des piliers nécessaires pour affiner l'interprétation des résultats cliniques</w:t>
      </w:r>
      <w:r w:rsidRPr="008D277B">
        <w:rPr>
          <w:rFonts w:asciiTheme="minorHAnsi" w:hAnsiTheme="minorHAnsi" w:cstheme="minorHAnsi"/>
          <w:color w:val="000000"/>
          <w:sz w:val="22"/>
          <w:szCs w:val="22"/>
        </w:rPr>
        <w:t>.</w:t>
      </w:r>
    </w:p>
    <w:p w14:paraId="3B124ACC" w14:textId="1E0A4B33" w:rsidR="008C100D" w:rsidRPr="00207558" w:rsidRDefault="00940C36" w:rsidP="00B0318E">
      <w:pPr>
        <w:pStyle w:val="Titre3"/>
      </w:pPr>
      <w:r>
        <w:t xml:space="preserve">  </w:t>
      </w:r>
      <w:bookmarkStart w:id="90" w:name="_Toc221704653"/>
      <w:r w:rsidR="00983D9E">
        <w:t>Enjeu de santé publique et rôle du kinésithérapeute</w:t>
      </w:r>
      <w:bookmarkEnd w:id="90"/>
    </w:p>
    <w:p w14:paraId="47CC54B1" w14:textId="77777777"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Cette volonté d'approfondissement s'inscrit dans un contexte national d'urgence sanitaire.</w:t>
      </w:r>
      <w:r w:rsidRPr="008D277B">
        <w:rPr>
          <w:rStyle w:val="apple-converted-space"/>
          <w:rFonts w:asciiTheme="minorHAnsi" w:hAnsiTheme="minorHAnsi" w:cstheme="minorHAnsi"/>
          <w:color w:val="000000"/>
          <w:sz w:val="22"/>
          <w:szCs w:val="22"/>
        </w:rPr>
        <w:t> </w:t>
      </w:r>
      <w:r w:rsidRPr="00207558">
        <w:rPr>
          <w:rStyle w:val="citation-626"/>
          <w:rFonts w:asciiTheme="minorHAnsi" w:hAnsiTheme="minorHAnsi" w:cstheme="minorHAnsi"/>
          <w:color w:val="000000"/>
          <w:sz w:val="22"/>
          <w:szCs w:val="22"/>
        </w:rPr>
        <w:t>Le</w:t>
      </w:r>
      <w:r w:rsidRPr="00207558">
        <w:rPr>
          <w:rStyle w:val="apple-converted-space"/>
          <w:rFonts w:asciiTheme="minorHAnsi" w:hAnsiTheme="minorHAnsi" w:cstheme="minorHAnsi"/>
          <w:color w:val="000000"/>
          <w:sz w:val="22"/>
          <w:szCs w:val="22"/>
        </w:rPr>
        <w:t> </w:t>
      </w:r>
      <w:r w:rsidRPr="00207558">
        <w:rPr>
          <w:rStyle w:val="citation-626"/>
          <w:rFonts w:asciiTheme="minorHAnsi" w:hAnsiTheme="minorHAnsi" w:cstheme="minorHAnsi"/>
          <w:color w:val="000000"/>
          <w:sz w:val="22"/>
          <w:szCs w:val="22"/>
        </w:rPr>
        <w:t>Plan Antichute 2022</w:t>
      </w:r>
      <w:r w:rsidRPr="008D277B">
        <w:rPr>
          <w:rStyle w:val="apple-converted-space"/>
          <w:rFonts w:asciiTheme="minorHAnsi" w:hAnsiTheme="minorHAnsi" w:cstheme="minorHAnsi"/>
          <w:color w:val="000000"/>
          <w:sz w:val="22"/>
          <w:szCs w:val="22"/>
        </w:rPr>
        <w:t> </w:t>
      </w:r>
      <w:r w:rsidRPr="008D277B">
        <w:rPr>
          <w:rStyle w:val="citation-626"/>
          <w:rFonts w:asciiTheme="minorHAnsi" w:hAnsiTheme="minorHAnsi" w:cstheme="minorHAnsi"/>
          <w:color w:val="000000"/>
          <w:sz w:val="22"/>
          <w:szCs w:val="22"/>
        </w:rPr>
        <w:t>vise à réduire de 20 % les chutes mortelles chez les personnes âgées, un défi majeur quand on sait qu'une personne sur trois de plus de 60 ans chute chaque année en France</w:t>
      </w:r>
      <w:r w:rsidRPr="008D277B">
        <w:rPr>
          <w:rFonts w:asciiTheme="minorHAnsi" w:hAnsiTheme="minorHAnsi" w:cstheme="minorHAnsi"/>
          <w:color w:val="000000"/>
          <w:sz w:val="22"/>
          <w:szCs w:val="22"/>
        </w:rPr>
        <w:t>.</w:t>
      </w:r>
    </w:p>
    <w:p w14:paraId="04D9E950" w14:textId="188D0E44" w:rsidR="008C100D" w:rsidRPr="008D277B" w:rsidRDefault="008C100D" w:rsidP="008D277B">
      <w:pPr>
        <w:pStyle w:val="NormalWeb"/>
        <w:spacing w:line="360" w:lineRule="auto"/>
        <w:jc w:val="both"/>
        <w:rPr>
          <w:rFonts w:asciiTheme="minorHAnsi" w:hAnsiTheme="minorHAnsi" w:cstheme="minorHAnsi"/>
          <w:color w:val="000000"/>
          <w:sz w:val="22"/>
          <w:szCs w:val="22"/>
        </w:rPr>
      </w:pPr>
      <w:r w:rsidRPr="008D277B">
        <w:rPr>
          <w:rStyle w:val="citation-625"/>
          <w:rFonts w:asciiTheme="minorHAnsi" w:hAnsiTheme="minorHAnsi" w:cstheme="minorHAnsi"/>
          <w:color w:val="000000"/>
          <w:sz w:val="22"/>
          <w:szCs w:val="22"/>
        </w:rPr>
        <w:t>Le masseur-kinésithérapeute est l'un des acteurs pivots de ce plan, notamment au niveau de l'axe 1 concernant le</w:t>
      </w:r>
      <w:r w:rsidRPr="008D277B">
        <w:rPr>
          <w:rStyle w:val="apple-converted-space"/>
          <w:rFonts w:asciiTheme="minorHAnsi" w:hAnsiTheme="minorHAnsi" w:cstheme="minorHAnsi"/>
          <w:color w:val="000000"/>
          <w:sz w:val="22"/>
          <w:szCs w:val="22"/>
        </w:rPr>
        <w:t> </w:t>
      </w:r>
      <w:r w:rsidRPr="00207558">
        <w:rPr>
          <w:rStyle w:val="citation-625"/>
          <w:rFonts w:asciiTheme="minorHAnsi" w:hAnsiTheme="minorHAnsi" w:cstheme="minorHAnsi"/>
          <w:color w:val="000000"/>
          <w:sz w:val="22"/>
          <w:szCs w:val="22"/>
        </w:rPr>
        <w:t>dépistage des risques</w:t>
      </w:r>
      <w:r w:rsidRPr="00207558">
        <w:rPr>
          <w:rFonts w:asciiTheme="minorHAnsi" w:hAnsiTheme="minorHAnsi" w:cstheme="minorHAnsi"/>
          <w:color w:val="000000"/>
          <w:sz w:val="22"/>
          <w:szCs w:val="22"/>
        </w:rPr>
        <w:t>.</w:t>
      </w:r>
      <w:r w:rsidRPr="00207558">
        <w:rPr>
          <w:rStyle w:val="apple-converted-space"/>
          <w:rFonts w:asciiTheme="minorHAnsi" w:hAnsiTheme="minorHAnsi" w:cstheme="minorHAnsi"/>
          <w:color w:val="000000"/>
          <w:sz w:val="22"/>
          <w:szCs w:val="22"/>
        </w:rPr>
        <w:t> </w:t>
      </w:r>
      <w:r w:rsidRPr="00207558">
        <w:rPr>
          <w:rStyle w:val="citation-624"/>
          <w:rFonts w:asciiTheme="minorHAnsi" w:hAnsiTheme="minorHAnsi" w:cstheme="minorHAnsi"/>
          <w:color w:val="000000"/>
          <w:sz w:val="22"/>
          <w:szCs w:val="22"/>
        </w:rPr>
        <w:t>Ses compétences lui permettent non seulement d'objectiver un risque de chute, mais aussi de proposer des programmes de prévention spécifiques</w:t>
      </w:r>
      <w:r w:rsidRPr="00207558">
        <w:rPr>
          <w:rFonts w:asciiTheme="minorHAnsi" w:hAnsiTheme="minorHAnsi" w:cstheme="minorHAnsi"/>
          <w:color w:val="000000"/>
          <w:sz w:val="22"/>
          <w:szCs w:val="22"/>
        </w:rPr>
        <w:t>.</w:t>
      </w:r>
      <w:r w:rsidRPr="00207558">
        <w:rPr>
          <w:rStyle w:val="apple-converted-space"/>
          <w:rFonts w:asciiTheme="minorHAnsi" w:hAnsiTheme="minorHAnsi" w:cstheme="minorHAnsi"/>
          <w:color w:val="000000"/>
          <w:sz w:val="22"/>
          <w:szCs w:val="22"/>
        </w:rPr>
        <w:t> </w:t>
      </w:r>
      <w:r w:rsidRPr="00207558">
        <w:rPr>
          <w:rStyle w:val="citation-623"/>
          <w:rFonts w:asciiTheme="minorHAnsi" w:hAnsiTheme="minorHAnsi" w:cstheme="minorHAnsi"/>
          <w:color w:val="000000"/>
          <w:sz w:val="22"/>
          <w:szCs w:val="22"/>
        </w:rPr>
        <w:t>Les résultats de notre enquête montrent que le praticien est prêt à assumer ce rôle, conscient qu'une intervention ciblée sur l'équilibre peut</w:t>
      </w:r>
      <w:r w:rsidRPr="00207558">
        <w:rPr>
          <w:rStyle w:val="apple-converted-space"/>
          <w:rFonts w:asciiTheme="minorHAnsi" w:hAnsiTheme="minorHAnsi" w:cstheme="minorHAnsi"/>
          <w:color w:val="000000"/>
          <w:sz w:val="22"/>
          <w:szCs w:val="22"/>
        </w:rPr>
        <w:t> </w:t>
      </w:r>
      <w:r w:rsidRPr="00207558">
        <w:rPr>
          <w:rStyle w:val="citation-623"/>
          <w:rFonts w:asciiTheme="minorHAnsi" w:hAnsiTheme="minorHAnsi" w:cstheme="minorHAnsi"/>
          <w:color w:val="000000"/>
          <w:sz w:val="22"/>
          <w:szCs w:val="22"/>
        </w:rPr>
        <w:t>réduire de 25 % le risque de chut</w:t>
      </w:r>
      <w:r w:rsidR="00983D9E">
        <w:rPr>
          <w:rStyle w:val="citation-623"/>
          <w:rFonts w:asciiTheme="minorHAnsi" w:hAnsiTheme="minorHAnsi" w:cstheme="minorHAnsi"/>
          <w:color w:val="000000"/>
          <w:sz w:val="22"/>
          <w:szCs w:val="22"/>
        </w:rPr>
        <w:t>e</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622"/>
          <w:rFonts w:asciiTheme="minorHAnsi" w:hAnsiTheme="minorHAnsi" w:cstheme="minorHAnsi"/>
          <w:color w:val="000000"/>
          <w:sz w:val="22"/>
          <w:szCs w:val="22"/>
        </w:rPr>
        <w:t>Le développement de formations concrètes, axées sur l'interprétation clinique et l'utilisation de tests validés mais rapides (comme le Mini-</w:t>
      </w:r>
      <w:proofErr w:type="spellStart"/>
      <w:r w:rsidRPr="008D277B">
        <w:rPr>
          <w:rStyle w:val="citation-622"/>
          <w:rFonts w:asciiTheme="minorHAnsi" w:hAnsiTheme="minorHAnsi" w:cstheme="minorHAnsi"/>
          <w:color w:val="000000"/>
          <w:sz w:val="22"/>
          <w:szCs w:val="22"/>
        </w:rPr>
        <w:t>BESTest</w:t>
      </w:r>
      <w:proofErr w:type="spellEnd"/>
      <w:r w:rsidRPr="008D277B">
        <w:rPr>
          <w:rStyle w:val="citation-622"/>
          <w:rFonts w:asciiTheme="minorHAnsi" w:hAnsiTheme="minorHAnsi" w:cstheme="minorHAnsi"/>
          <w:color w:val="000000"/>
          <w:sz w:val="22"/>
          <w:szCs w:val="22"/>
        </w:rPr>
        <w:t xml:space="preserve">), apparaît donc comme </w:t>
      </w:r>
      <w:proofErr w:type="spellStart"/>
      <w:r w:rsidR="00983D9E">
        <w:rPr>
          <w:rStyle w:val="citation-622"/>
          <w:rFonts w:asciiTheme="minorHAnsi" w:hAnsiTheme="minorHAnsi" w:cstheme="minorHAnsi"/>
          <w:color w:val="000000"/>
          <w:sz w:val="22"/>
          <w:szCs w:val="22"/>
        </w:rPr>
        <w:t>uno</w:t>
      </w:r>
      <w:proofErr w:type="spellEnd"/>
      <w:r w:rsidRPr="008D277B">
        <w:rPr>
          <w:rStyle w:val="citation-622"/>
          <w:rFonts w:asciiTheme="minorHAnsi" w:hAnsiTheme="minorHAnsi" w:cstheme="minorHAnsi"/>
          <w:color w:val="000000"/>
          <w:sz w:val="22"/>
          <w:szCs w:val="22"/>
        </w:rPr>
        <w:t xml:space="preserve"> levier indispensable pour transformer ces intentions en une pratique clinique généralisée et efficace</w:t>
      </w:r>
      <w:r w:rsidRPr="008D277B">
        <w:rPr>
          <w:rFonts w:asciiTheme="minorHAnsi" w:hAnsiTheme="minorHAnsi" w:cstheme="minorHAnsi"/>
          <w:color w:val="000000"/>
          <w:sz w:val="22"/>
          <w:szCs w:val="22"/>
        </w:rPr>
        <w:t>.</w:t>
      </w:r>
    </w:p>
    <w:p w14:paraId="6628501B" w14:textId="4303EAD8" w:rsidR="008D277B" w:rsidRPr="008D277B" w:rsidRDefault="008D277B" w:rsidP="00207558">
      <w:pPr>
        <w:pStyle w:val="Titre2"/>
      </w:pPr>
      <w:bookmarkStart w:id="91" w:name="_Toc221704654"/>
      <w:r w:rsidRPr="008D277B">
        <w:t>Limites de l’étude</w:t>
      </w:r>
      <w:bookmarkEnd w:id="91"/>
    </w:p>
    <w:p w14:paraId="339607B5" w14:textId="77777777" w:rsidR="008D277B" w:rsidRPr="008D277B" w:rsidRDefault="008D277B"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Malgré la pertinence des tendances observées, ce travail d'initiation à la recherche présente plusieurs limites qui doivent être prises en compte dans l’interprétation des résultats.</w:t>
      </w:r>
    </w:p>
    <w:p w14:paraId="1DB273D0" w14:textId="1B2D9A8F" w:rsidR="008D277B" w:rsidRPr="008D277B" w:rsidRDefault="008D277B" w:rsidP="00207558">
      <w:pPr>
        <w:pStyle w:val="Titre3"/>
      </w:pPr>
      <w:bookmarkStart w:id="92" w:name="_Toc221704655"/>
      <w:r w:rsidRPr="008D277B">
        <w:lastRenderedPageBreak/>
        <w:t>La représentativité et la taille de l’échantillon</w:t>
      </w:r>
      <w:bookmarkEnd w:id="92"/>
    </w:p>
    <w:p w14:paraId="6211A9DC" w14:textId="299CCAAA" w:rsidR="008D277B" w:rsidRPr="008D277B" w:rsidRDefault="008D277B"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La limite majeure de cette étude réside dans la taille de l'échantillon recueilli.</w:t>
      </w:r>
      <w:r w:rsidRPr="008D277B">
        <w:rPr>
          <w:rStyle w:val="apple-converted-space"/>
          <w:rFonts w:asciiTheme="minorHAnsi" w:hAnsiTheme="minorHAnsi" w:cstheme="minorHAnsi"/>
          <w:color w:val="000000"/>
          <w:sz w:val="22"/>
          <w:szCs w:val="22"/>
        </w:rPr>
        <w:t> </w:t>
      </w:r>
      <w:r w:rsidRPr="008D277B">
        <w:rPr>
          <w:rStyle w:val="citation-721"/>
          <w:rFonts w:asciiTheme="minorHAnsi" w:hAnsiTheme="minorHAnsi" w:cstheme="minorHAnsi"/>
          <w:color w:val="000000"/>
          <w:sz w:val="22"/>
          <w:szCs w:val="22"/>
        </w:rPr>
        <w:t xml:space="preserve">Alors que le calcul initial de puissance, basé sur la formule de Charan, prévoyait un besoin de 383 réponses pour garantir une représentativité statistique nationale avec une marge d’erreur de 5 </w:t>
      </w:r>
      <w:r w:rsidR="00207558" w:rsidRPr="008D277B">
        <w:rPr>
          <w:rStyle w:val="citation-721"/>
          <w:rFonts w:asciiTheme="minorHAnsi" w:hAnsiTheme="minorHAnsi" w:cstheme="minorHAnsi"/>
          <w:color w:val="000000"/>
          <w:sz w:val="22"/>
          <w:szCs w:val="22"/>
        </w:rPr>
        <w:t>%</w:t>
      </w:r>
      <w:r w:rsidR="00207558" w:rsidRPr="008D277B">
        <w:rPr>
          <w:rStyle w:val="apple-converted-space"/>
          <w:rFonts w:asciiTheme="minorHAnsi" w:hAnsiTheme="minorHAnsi" w:cstheme="minorHAnsi"/>
          <w:color w:val="000000"/>
          <w:sz w:val="22"/>
          <w:szCs w:val="22"/>
        </w:rPr>
        <w:t>,</w:t>
      </w:r>
      <w:r w:rsidRPr="008D277B">
        <w:rPr>
          <w:rStyle w:val="citation-720"/>
          <w:rFonts w:asciiTheme="minorHAnsi" w:hAnsiTheme="minorHAnsi" w:cstheme="minorHAnsi"/>
          <w:color w:val="000000"/>
          <w:sz w:val="22"/>
          <w:szCs w:val="22"/>
        </w:rPr>
        <w:t xml:space="preserve"> seuls 37 questionnaires complets ont pu être analysés</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719"/>
          <w:rFonts w:asciiTheme="minorHAnsi" w:eastAsiaTheme="majorEastAsia" w:hAnsiTheme="minorHAnsi" w:cstheme="minorHAnsi"/>
          <w:color w:val="000000"/>
          <w:sz w:val="22"/>
          <w:szCs w:val="22"/>
        </w:rPr>
        <w:t>Ce faible effecti</w:t>
      </w:r>
      <w:r w:rsidR="00271111">
        <w:rPr>
          <w:rStyle w:val="citation-719"/>
          <w:rFonts w:asciiTheme="minorHAnsi" w:eastAsiaTheme="majorEastAsia" w:hAnsiTheme="minorHAnsi" w:cstheme="minorHAnsi"/>
          <w:color w:val="000000"/>
          <w:sz w:val="22"/>
          <w:szCs w:val="22"/>
        </w:rPr>
        <w:t xml:space="preserve">f </w:t>
      </w:r>
      <w:r w:rsidRPr="008D277B">
        <w:rPr>
          <w:rStyle w:val="citation-719"/>
          <w:rFonts w:asciiTheme="minorHAnsi" w:eastAsiaTheme="majorEastAsia" w:hAnsiTheme="minorHAnsi" w:cstheme="minorHAnsi"/>
          <w:color w:val="000000"/>
          <w:sz w:val="22"/>
          <w:szCs w:val="22"/>
        </w:rPr>
        <w:t>limite la généralisation des résultats à l’ensemble des 109 000 masseurs-kinésithérapeutes exerçant en France</w:t>
      </w:r>
      <w:r w:rsidRPr="008D277B">
        <w:rPr>
          <w:rFonts w:asciiTheme="minorHAnsi" w:hAnsiTheme="minorHAnsi" w:cstheme="minorHAnsi"/>
          <w:color w:val="000000"/>
          <w:sz w:val="22"/>
          <w:szCs w:val="22"/>
        </w:rPr>
        <w:t>. Bien que les tendances observées soient marquées, elles ne peuvent être considérées que comme des indicateurs de pratiques et non comme une vérité statistique absolue pour toute la profession.</w:t>
      </w:r>
    </w:p>
    <w:p w14:paraId="5AAE38B5" w14:textId="6232C12E" w:rsidR="008D277B" w:rsidRPr="008D277B" w:rsidRDefault="008D277B" w:rsidP="00207558">
      <w:pPr>
        <w:pStyle w:val="Titre3"/>
      </w:pPr>
      <w:bookmarkStart w:id="93" w:name="_Toc221704656"/>
      <w:r w:rsidRPr="008D277B">
        <w:t>Les biais de sélection et de recrutement</w:t>
      </w:r>
      <w:bookmarkEnd w:id="93"/>
    </w:p>
    <w:p w14:paraId="68C26526" w14:textId="0E69DE7C" w:rsidR="008D277B" w:rsidRPr="008D277B" w:rsidRDefault="008D277B" w:rsidP="008D277B">
      <w:pPr>
        <w:pStyle w:val="NormalWeb"/>
        <w:spacing w:line="360" w:lineRule="auto"/>
        <w:jc w:val="both"/>
        <w:rPr>
          <w:rFonts w:asciiTheme="minorHAnsi" w:hAnsiTheme="minorHAnsi" w:cstheme="minorHAnsi"/>
          <w:color w:val="000000"/>
          <w:sz w:val="22"/>
          <w:szCs w:val="22"/>
        </w:rPr>
      </w:pPr>
      <w:r w:rsidRPr="008D277B">
        <w:rPr>
          <w:rStyle w:val="citation-718"/>
          <w:rFonts w:asciiTheme="minorHAnsi" w:hAnsiTheme="minorHAnsi" w:cstheme="minorHAnsi"/>
          <w:color w:val="000000"/>
          <w:sz w:val="22"/>
          <w:szCs w:val="22"/>
        </w:rPr>
        <w:t>Le mode de diffusion multimodale (réseaux sociaux, mailings</w:t>
      </w:r>
      <w:r w:rsidR="00271111">
        <w:rPr>
          <w:rStyle w:val="citation-718"/>
          <w:rFonts w:asciiTheme="minorHAnsi" w:hAnsiTheme="minorHAnsi" w:cstheme="minorHAnsi"/>
          <w:color w:val="000000"/>
          <w:sz w:val="22"/>
          <w:szCs w:val="22"/>
        </w:rPr>
        <w:t>)</w:t>
      </w:r>
      <w:r w:rsidRPr="008D277B">
        <w:rPr>
          <w:rStyle w:val="citation-718"/>
          <w:rFonts w:asciiTheme="minorHAnsi" w:hAnsiTheme="minorHAnsi" w:cstheme="minorHAnsi"/>
          <w:color w:val="000000"/>
          <w:sz w:val="22"/>
          <w:szCs w:val="22"/>
        </w:rPr>
        <w:t xml:space="preserve"> a favorisé un biais de sélection</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717"/>
          <w:rFonts w:asciiTheme="minorHAnsi" w:hAnsiTheme="minorHAnsi" w:cstheme="minorHAnsi"/>
          <w:color w:val="000000"/>
          <w:sz w:val="22"/>
          <w:szCs w:val="22"/>
        </w:rPr>
        <w:t>Les praticiens ayant répondu sont probablement ceux qui portent déjà un intérêt particulier à la gériatrie ou à la recherche clinique, ce qui peut surestimer la fréquence déclarée des évaluations</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716"/>
          <w:rFonts w:asciiTheme="minorHAnsi" w:hAnsiTheme="minorHAnsi" w:cstheme="minorHAnsi"/>
          <w:color w:val="000000"/>
          <w:sz w:val="22"/>
          <w:szCs w:val="22"/>
        </w:rPr>
        <w:t>De plus, on observe une sur-représentation massive de l’exercice libéral (94,6 % des répondants)</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715"/>
          <w:rFonts w:asciiTheme="minorHAnsi" w:hAnsiTheme="minorHAnsi" w:cstheme="minorHAnsi"/>
          <w:color w:val="000000"/>
          <w:sz w:val="22"/>
          <w:szCs w:val="22"/>
        </w:rPr>
        <w:t>Si cela reflète la réalité démographique de la profession, cela occulte les pratiques en milieu hospitalier ou en centre de rééducation où les contraintes de temps et l’accès au matériel sont radicalement différents</w:t>
      </w:r>
      <w:r w:rsidRPr="008D277B">
        <w:rPr>
          <w:rFonts w:asciiTheme="minorHAnsi" w:hAnsiTheme="minorHAnsi" w:cstheme="minorHAnsi"/>
          <w:color w:val="000000"/>
          <w:sz w:val="22"/>
          <w:szCs w:val="22"/>
        </w:rPr>
        <w:t>.</w:t>
      </w:r>
    </w:p>
    <w:p w14:paraId="04AF4424" w14:textId="38A10CBF" w:rsidR="008D277B" w:rsidRPr="008D277B" w:rsidRDefault="008D277B" w:rsidP="00207558">
      <w:pPr>
        <w:pStyle w:val="Titre3"/>
      </w:pPr>
      <w:bookmarkStart w:id="94" w:name="_Toc221704657"/>
      <w:r w:rsidRPr="008D277B">
        <w:t>Les biais déclaratifs</w:t>
      </w:r>
      <w:bookmarkEnd w:id="94"/>
    </w:p>
    <w:p w14:paraId="52D5CAAE" w14:textId="500F9A8C" w:rsidR="008D277B" w:rsidRPr="008D277B" w:rsidRDefault="00271111" w:rsidP="008D277B">
      <w:pPr>
        <w:pStyle w:val="NormalWeb"/>
        <w:spacing w:line="360" w:lineRule="auto"/>
        <w:jc w:val="both"/>
        <w:rPr>
          <w:rFonts w:asciiTheme="minorHAnsi" w:hAnsiTheme="minorHAnsi" w:cstheme="minorHAnsi"/>
          <w:color w:val="000000"/>
          <w:sz w:val="22"/>
          <w:szCs w:val="22"/>
        </w:rPr>
      </w:pPr>
      <w:r>
        <w:rPr>
          <w:rStyle w:val="citation-714"/>
          <w:rFonts w:asciiTheme="minorHAnsi" w:hAnsiTheme="minorHAnsi" w:cstheme="minorHAnsi"/>
          <w:color w:val="000000"/>
          <w:sz w:val="22"/>
          <w:szCs w:val="22"/>
        </w:rPr>
        <w:t>L</w:t>
      </w:r>
      <w:r w:rsidR="008D277B" w:rsidRPr="008D277B">
        <w:rPr>
          <w:rStyle w:val="citation-714"/>
          <w:rFonts w:asciiTheme="minorHAnsi" w:hAnsiTheme="minorHAnsi" w:cstheme="minorHAnsi"/>
          <w:color w:val="000000"/>
          <w:sz w:val="22"/>
          <w:szCs w:val="22"/>
        </w:rPr>
        <w:t>'utilisation d'un auto-questionnaire expose au biais de désirabilité sociale</w:t>
      </w:r>
      <w:r w:rsidR="008D277B" w:rsidRPr="008D277B">
        <w:rPr>
          <w:rFonts w:asciiTheme="minorHAnsi" w:hAnsiTheme="minorHAnsi" w:cstheme="minorHAnsi"/>
          <w:color w:val="000000"/>
          <w:sz w:val="22"/>
          <w:szCs w:val="22"/>
        </w:rPr>
        <w:t>.</w:t>
      </w:r>
      <w:r w:rsidR="008D277B" w:rsidRPr="008D277B">
        <w:rPr>
          <w:rStyle w:val="apple-converted-space"/>
          <w:rFonts w:asciiTheme="minorHAnsi" w:hAnsiTheme="minorHAnsi" w:cstheme="minorHAnsi"/>
          <w:color w:val="000000"/>
          <w:sz w:val="22"/>
          <w:szCs w:val="22"/>
        </w:rPr>
        <w:t> </w:t>
      </w:r>
      <w:r w:rsidR="008D277B" w:rsidRPr="008D277B">
        <w:rPr>
          <w:rStyle w:val="citation-713"/>
          <w:rFonts w:asciiTheme="minorHAnsi" w:hAnsiTheme="minorHAnsi" w:cstheme="minorHAnsi"/>
          <w:color w:val="000000"/>
          <w:sz w:val="22"/>
          <w:szCs w:val="22"/>
        </w:rPr>
        <w:t>Les participants peuvent avoir tendance à surévaluer leur fréquence d'évaluation ou à déclarer l'utilisation de tests qu'ils jugent "attendus" par l'enquêteur, plutôt que de décrire strictement leur pratique quotidienne réelle</w:t>
      </w:r>
      <w:r w:rsidR="008D277B" w:rsidRPr="008D277B">
        <w:rPr>
          <w:rFonts w:asciiTheme="minorHAnsi" w:hAnsiTheme="minorHAnsi" w:cstheme="minorHAnsi"/>
          <w:color w:val="000000"/>
          <w:sz w:val="22"/>
          <w:szCs w:val="22"/>
        </w:rPr>
        <w:t>.</w:t>
      </w:r>
      <w:r w:rsidR="008D277B" w:rsidRPr="008D277B">
        <w:rPr>
          <w:rStyle w:val="apple-converted-space"/>
          <w:rFonts w:asciiTheme="minorHAnsi" w:hAnsiTheme="minorHAnsi" w:cstheme="minorHAnsi"/>
          <w:color w:val="000000"/>
          <w:sz w:val="22"/>
          <w:szCs w:val="22"/>
        </w:rPr>
        <w:t> </w:t>
      </w:r>
      <w:r w:rsidR="008D277B" w:rsidRPr="008D277B">
        <w:rPr>
          <w:rStyle w:val="citation-712"/>
          <w:rFonts w:asciiTheme="minorHAnsi" w:hAnsiTheme="minorHAnsi" w:cstheme="minorHAnsi"/>
          <w:color w:val="000000"/>
          <w:sz w:val="22"/>
          <w:szCs w:val="22"/>
        </w:rPr>
        <w:t>De même, la compréhension de certaines questions a pu varier d'un individu à l'autre malgré le pré-test effectué, induisant un possible biais de mesure</w:t>
      </w:r>
      <w:r w:rsidR="008D277B" w:rsidRPr="008D277B">
        <w:rPr>
          <w:rFonts w:asciiTheme="minorHAnsi" w:hAnsiTheme="minorHAnsi" w:cstheme="minorHAnsi"/>
          <w:color w:val="000000"/>
          <w:sz w:val="22"/>
          <w:szCs w:val="22"/>
        </w:rPr>
        <w:t>.</w:t>
      </w:r>
    </w:p>
    <w:p w14:paraId="30F889E3" w14:textId="5B5B9BF1" w:rsidR="008D277B" w:rsidRPr="008D277B" w:rsidRDefault="008D277B" w:rsidP="00207558">
      <w:pPr>
        <w:pStyle w:val="Titre2"/>
      </w:pPr>
      <w:bookmarkStart w:id="95" w:name="_Toc221704658"/>
      <w:r w:rsidRPr="008D277B">
        <w:t>Perspectives et ouvertures</w:t>
      </w:r>
      <w:bookmarkEnd w:id="95"/>
    </w:p>
    <w:p w14:paraId="49CEA135" w14:textId="01B8F10E" w:rsidR="008D277B" w:rsidRPr="008D277B" w:rsidRDefault="00207558" w:rsidP="008D277B">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r>
      <w:r w:rsidR="008D277B" w:rsidRPr="008D277B">
        <w:rPr>
          <w:rFonts w:asciiTheme="minorHAnsi" w:hAnsiTheme="minorHAnsi" w:cstheme="minorHAnsi"/>
          <w:color w:val="000000"/>
          <w:sz w:val="22"/>
          <w:szCs w:val="22"/>
        </w:rPr>
        <w:t xml:space="preserve">Les résultats de ce travail, bien que limités par la taille de l'échantillon, ouvrent des pistes de réflexion majeures pour l'évolution de la pratique kinésithérapique </w:t>
      </w:r>
      <w:r w:rsidR="00FA419F">
        <w:rPr>
          <w:rFonts w:asciiTheme="minorHAnsi" w:hAnsiTheme="minorHAnsi" w:cstheme="minorHAnsi"/>
          <w:color w:val="000000"/>
          <w:sz w:val="22"/>
          <w:szCs w:val="22"/>
        </w:rPr>
        <w:t>auprès des personnes âgées de 60 ans et plus</w:t>
      </w:r>
      <w:r w:rsidR="008D277B" w:rsidRPr="008D277B">
        <w:rPr>
          <w:rFonts w:asciiTheme="minorHAnsi" w:hAnsiTheme="minorHAnsi" w:cstheme="minorHAnsi"/>
          <w:color w:val="000000"/>
          <w:sz w:val="22"/>
          <w:szCs w:val="22"/>
        </w:rPr>
        <w:t>.</w:t>
      </w:r>
    </w:p>
    <w:p w14:paraId="170B3CA2" w14:textId="27B389FC" w:rsidR="008D277B" w:rsidRPr="008D277B" w:rsidRDefault="008D277B" w:rsidP="00207558">
      <w:pPr>
        <w:pStyle w:val="Titre3"/>
      </w:pPr>
      <w:bookmarkStart w:id="96" w:name="_Toc221704659"/>
      <w:r w:rsidRPr="008D277B">
        <w:t>Vers la création de guides de pratique clinique "efficients"</w:t>
      </w:r>
      <w:bookmarkEnd w:id="96"/>
    </w:p>
    <w:p w14:paraId="2521C62E" w14:textId="0FE09AAE" w:rsidR="008D277B" w:rsidRPr="008D277B" w:rsidRDefault="00207558" w:rsidP="008D277B">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b/>
      </w:r>
      <w:r w:rsidR="008D277B" w:rsidRPr="008D277B">
        <w:rPr>
          <w:rFonts w:asciiTheme="minorHAnsi" w:hAnsiTheme="minorHAnsi" w:cstheme="minorHAnsi"/>
          <w:color w:val="000000"/>
          <w:sz w:val="22"/>
          <w:szCs w:val="22"/>
        </w:rPr>
        <w:t xml:space="preserve">Le décalage entre l’exhaustivité du </w:t>
      </w:r>
      <w:proofErr w:type="spellStart"/>
      <w:r w:rsidR="008D277B" w:rsidRPr="008D277B">
        <w:rPr>
          <w:rFonts w:asciiTheme="minorHAnsi" w:hAnsiTheme="minorHAnsi" w:cstheme="minorHAnsi"/>
          <w:color w:val="000000"/>
          <w:sz w:val="22"/>
          <w:szCs w:val="22"/>
        </w:rPr>
        <w:t>BESTest</w:t>
      </w:r>
      <w:proofErr w:type="spellEnd"/>
      <w:r w:rsidR="008D277B" w:rsidRPr="008D277B">
        <w:rPr>
          <w:rFonts w:asciiTheme="minorHAnsi" w:hAnsiTheme="minorHAnsi" w:cstheme="minorHAnsi"/>
          <w:color w:val="000000"/>
          <w:sz w:val="22"/>
          <w:szCs w:val="22"/>
        </w:rPr>
        <w:t xml:space="preserve"> et la réalité du cabinet libéral suggère la nécessité de développer des outils </w:t>
      </w:r>
      <w:r w:rsidR="00271111">
        <w:rPr>
          <w:rFonts w:asciiTheme="minorHAnsi" w:hAnsiTheme="minorHAnsi" w:cstheme="minorHAnsi"/>
          <w:color w:val="000000"/>
          <w:sz w:val="22"/>
          <w:szCs w:val="22"/>
        </w:rPr>
        <w:t>alliant les deux aspects</w:t>
      </w:r>
      <w:r w:rsidR="008D277B" w:rsidRPr="008D277B">
        <w:rPr>
          <w:rFonts w:asciiTheme="minorHAnsi" w:hAnsiTheme="minorHAnsi" w:cstheme="minorHAnsi"/>
          <w:color w:val="000000"/>
          <w:sz w:val="22"/>
          <w:szCs w:val="22"/>
        </w:rPr>
        <w:t>.</w:t>
      </w:r>
      <w:r w:rsidR="008D277B" w:rsidRPr="008D277B">
        <w:rPr>
          <w:rStyle w:val="apple-converted-space"/>
          <w:rFonts w:asciiTheme="minorHAnsi" w:hAnsiTheme="minorHAnsi" w:cstheme="minorHAnsi"/>
          <w:color w:val="000000"/>
          <w:sz w:val="22"/>
          <w:szCs w:val="22"/>
        </w:rPr>
        <w:t> </w:t>
      </w:r>
      <w:r w:rsidR="008D277B" w:rsidRPr="008D277B">
        <w:rPr>
          <w:rStyle w:val="citation-798"/>
          <w:rFonts w:asciiTheme="minorHAnsi" w:hAnsiTheme="minorHAnsi" w:cstheme="minorHAnsi"/>
          <w:color w:val="000000"/>
          <w:sz w:val="22"/>
          <w:szCs w:val="22"/>
        </w:rPr>
        <w:t>Une perspective concrète serait l’élaboration de</w:t>
      </w:r>
      <w:r w:rsidR="008D277B" w:rsidRPr="008D277B">
        <w:rPr>
          <w:rStyle w:val="apple-converted-space"/>
          <w:rFonts w:asciiTheme="minorHAnsi" w:hAnsiTheme="minorHAnsi" w:cstheme="minorHAnsi"/>
          <w:color w:val="000000"/>
          <w:sz w:val="22"/>
          <w:szCs w:val="22"/>
        </w:rPr>
        <w:t> </w:t>
      </w:r>
      <w:r w:rsidR="008D277B" w:rsidRPr="00207558">
        <w:rPr>
          <w:rStyle w:val="citation-798"/>
          <w:rFonts w:asciiTheme="minorHAnsi" w:hAnsiTheme="minorHAnsi" w:cstheme="minorHAnsi"/>
          <w:color w:val="000000"/>
          <w:sz w:val="22"/>
          <w:szCs w:val="22"/>
        </w:rPr>
        <w:t>recommandations ou de guides pratiques simplifiés</w:t>
      </w:r>
      <w:r w:rsidR="008D277B" w:rsidRPr="00207558">
        <w:rPr>
          <w:rFonts w:asciiTheme="minorHAnsi" w:hAnsiTheme="minorHAnsi" w:cstheme="minorHAnsi"/>
          <w:color w:val="000000"/>
          <w:sz w:val="22"/>
          <w:szCs w:val="22"/>
        </w:rPr>
        <w:t>.</w:t>
      </w:r>
      <w:r w:rsidR="008D277B" w:rsidRPr="008D277B">
        <w:rPr>
          <w:rStyle w:val="apple-converted-space"/>
          <w:rFonts w:asciiTheme="minorHAnsi" w:hAnsiTheme="minorHAnsi" w:cstheme="minorHAnsi"/>
          <w:color w:val="000000"/>
          <w:sz w:val="22"/>
          <w:szCs w:val="22"/>
        </w:rPr>
        <w:t> </w:t>
      </w:r>
      <w:r w:rsidR="008D277B" w:rsidRPr="008D277B">
        <w:rPr>
          <w:rStyle w:val="citation-797"/>
          <w:rFonts w:asciiTheme="minorHAnsi" w:hAnsiTheme="minorHAnsi" w:cstheme="minorHAnsi"/>
          <w:color w:val="000000"/>
          <w:sz w:val="22"/>
          <w:szCs w:val="22"/>
        </w:rPr>
        <w:t xml:space="preserve">Ces outils ne chercheraient pas à remplacer le </w:t>
      </w:r>
      <w:r w:rsidR="008D277B" w:rsidRPr="008D277B">
        <w:rPr>
          <w:rStyle w:val="citation-797"/>
          <w:rFonts w:asciiTheme="minorHAnsi" w:hAnsiTheme="minorHAnsi" w:cstheme="minorHAnsi"/>
          <w:color w:val="000000"/>
          <w:sz w:val="22"/>
          <w:szCs w:val="22"/>
        </w:rPr>
        <w:lastRenderedPageBreak/>
        <w:t>bilan complet, mais à proposer un "arbre décisionnel" rapide : en fonction des résultats au test d'appui unipodal (dépistage), le MK serait orienté vers un item spécifique du Mini-</w:t>
      </w:r>
      <w:proofErr w:type="spellStart"/>
      <w:r w:rsidR="008D277B" w:rsidRPr="008D277B">
        <w:rPr>
          <w:rStyle w:val="citation-797"/>
          <w:rFonts w:asciiTheme="minorHAnsi" w:hAnsiTheme="minorHAnsi" w:cstheme="minorHAnsi"/>
          <w:color w:val="000000"/>
          <w:sz w:val="22"/>
          <w:szCs w:val="22"/>
        </w:rPr>
        <w:t>BESTest</w:t>
      </w:r>
      <w:proofErr w:type="spellEnd"/>
      <w:r w:rsidR="008D277B" w:rsidRPr="008D277B">
        <w:rPr>
          <w:rStyle w:val="citation-797"/>
          <w:rFonts w:asciiTheme="minorHAnsi" w:hAnsiTheme="minorHAnsi" w:cstheme="minorHAnsi"/>
          <w:color w:val="000000"/>
          <w:sz w:val="22"/>
          <w:szCs w:val="22"/>
        </w:rPr>
        <w:t xml:space="preserve"> (diagnostic)</w:t>
      </w:r>
      <w:r w:rsidR="008D277B" w:rsidRPr="008D277B">
        <w:rPr>
          <w:rFonts w:asciiTheme="minorHAnsi" w:hAnsiTheme="minorHAnsi" w:cstheme="minorHAnsi"/>
          <w:color w:val="000000"/>
          <w:sz w:val="22"/>
          <w:szCs w:val="22"/>
        </w:rPr>
        <w:t>. L'objectif est de passer d'une évaluation binaire ("risque" ou "pas de risque") à une évaluation ciblée sur le système déficitaire en moins de 15 minutes.</w:t>
      </w:r>
    </w:p>
    <w:p w14:paraId="1BBC9673" w14:textId="4BB547F1" w:rsidR="008D277B" w:rsidRPr="008D277B" w:rsidRDefault="008D277B" w:rsidP="00207558">
      <w:pPr>
        <w:pStyle w:val="Titre3"/>
      </w:pPr>
      <w:r w:rsidRPr="008D277B">
        <w:t xml:space="preserve"> </w:t>
      </w:r>
      <w:bookmarkStart w:id="97" w:name="_Toc221704660"/>
      <w:r w:rsidRPr="008D277B">
        <w:t>Modernisation de la formation initiale et continue</w:t>
      </w:r>
      <w:bookmarkEnd w:id="97"/>
    </w:p>
    <w:p w14:paraId="2CE4750C" w14:textId="21F184B3" w:rsidR="008D277B" w:rsidRPr="008D277B" w:rsidRDefault="008D277B" w:rsidP="008D277B">
      <w:pPr>
        <w:pStyle w:val="NormalWeb"/>
        <w:spacing w:line="360" w:lineRule="auto"/>
        <w:jc w:val="both"/>
        <w:rPr>
          <w:rFonts w:asciiTheme="minorHAnsi" w:hAnsiTheme="minorHAnsi" w:cstheme="minorHAnsi"/>
          <w:color w:val="000000"/>
          <w:sz w:val="22"/>
          <w:szCs w:val="22"/>
        </w:rPr>
      </w:pPr>
      <w:r w:rsidRPr="008D277B">
        <w:rPr>
          <w:rStyle w:val="citation-796"/>
          <w:rFonts w:asciiTheme="minorHAnsi" w:eastAsiaTheme="majorEastAsia" w:hAnsiTheme="minorHAnsi" w:cstheme="minorHAnsi"/>
          <w:color w:val="000000"/>
          <w:sz w:val="22"/>
          <w:szCs w:val="22"/>
        </w:rPr>
        <w:t>L'intérêt massif des répondants pour une formation complémentaire (83,8 %) montre que la profession est prête à évoluer</w:t>
      </w:r>
      <w:r w:rsidRPr="008D277B">
        <w:rPr>
          <w:rFonts w:asciiTheme="minorHAnsi" w:hAnsiTheme="minorHAnsi" w:cstheme="minorHAnsi"/>
          <w:color w:val="000000"/>
          <w:sz w:val="22"/>
          <w:szCs w:val="22"/>
        </w:rPr>
        <w:t xml:space="preserve">. Une ouverture majeure réside dans </w:t>
      </w:r>
      <w:r w:rsidRPr="00AE7882">
        <w:rPr>
          <w:rFonts w:asciiTheme="minorHAnsi" w:hAnsiTheme="minorHAnsi" w:cstheme="minorHAnsi"/>
          <w:color w:val="000000"/>
          <w:sz w:val="22"/>
          <w:szCs w:val="22"/>
        </w:rPr>
        <w:t>la</w:t>
      </w:r>
      <w:r w:rsidRPr="00AE7882">
        <w:rPr>
          <w:rStyle w:val="apple-converted-space"/>
          <w:rFonts w:asciiTheme="minorHAnsi" w:hAnsiTheme="minorHAnsi" w:cstheme="minorHAnsi"/>
          <w:color w:val="000000"/>
          <w:sz w:val="22"/>
          <w:szCs w:val="22"/>
        </w:rPr>
        <w:t> </w:t>
      </w:r>
      <w:r w:rsidRPr="00AE7882">
        <w:rPr>
          <w:rFonts w:asciiTheme="minorHAnsi" w:hAnsiTheme="minorHAnsi" w:cstheme="minorHAnsi"/>
          <w:color w:val="000000"/>
          <w:sz w:val="22"/>
          <w:szCs w:val="22"/>
        </w:rPr>
        <w:t>révision des maquettes pédagogiques en IFMK.</w:t>
      </w:r>
      <w:r w:rsidRPr="008D277B">
        <w:rPr>
          <w:rStyle w:val="apple-converted-space"/>
          <w:rFonts w:asciiTheme="minorHAnsi" w:hAnsiTheme="minorHAnsi" w:cstheme="minorHAnsi"/>
          <w:color w:val="000000"/>
          <w:sz w:val="22"/>
          <w:szCs w:val="22"/>
        </w:rPr>
        <w:t> </w:t>
      </w:r>
      <w:r w:rsidRPr="008D277B">
        <w:rPr>
          <w:rStyle w:val="citation-795"/>
          <w:rFonts w:asciiTheme="minorHAnsi" w:eastAsiaTheme="majorEastAsia" w:hAnsiTheme="minorHAnsi" w:cstheme="minorHAnsi"/>
          <w:color w:val="000000"/>
          <w:sz w:val="22"/>
          <w:szCs w:val="22"/>
        </w:rPr>
        <w:t xml:space="preserve">L'intégration systématique du modèle systémique de </w:t>
      </w:r>
      <w:proofErr w:type="spellStart"/>
      <w:r w:rsidRPr="008D277B">
        <w:rPr>
          <w:rStyle w:val="citation-795"/>
          <w:rFonts w:asciiTheme="minorHAnsi" w:eastAsiaTheme="majorEastAsia" w:hAnsiTheme="minorHAnsi" w:cstheme="minorHAnsi"/>
          <w:color w:val="000000"/>
          <w:sz w:val="22"/>
          <w:szCs w:val="22"/>
        </w:rPr>
        <w:t>Horak</w:t>
      </w:r>
      <w:proofErr w:type="spellEnd"/>
      <w:r w:rsidRPr="008D277B">
        <w:rPr>
          <w:rStyle w:val="citation-795"/>
          <w:rFonts w:asciiTheme="minorHAnsi" w:eastAsiaTheme="majorEastAsia" w:hAnsiTheme="minorHAnsi" w:cstheme="minorHAnsi"/>
          <w:color w:val="000000"/>
          <w:sz w:val="22"/>
          <w:szCs w:val="22"/>
        </w:rPr>
        <w:t xml:space="preserve"> permettrait aux futurs praticiens de ne plus voir l'équilibre comme une fonction monolithique, mais comme une interaction complexe de sous-systèmes</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794"/>
          <w:rFonts w:asciiTheme="minorHAnsi" w:eastAsiaTheme="majorEastAsia" w:hAnsiTheme="minorHAnsi" w:cstheme="minorHAnsi"/>
          <w:color w:val="000000"/>
          <w:sz w:val="22"/>
          <w:szCs w:val="22"/>
        </w:rPr>
        <w:t>Par ailleurs, le développement de formations en</w:t>
      </w:r>
      <w:r w:rsidRPr="008D277B">
        <w:rPr>
          <w:rStyle w:val="apple-converted-space"/>
          <w:rFonts w:asciiTheme="minorHAnsi" w:hAnsiTheme="minorHAnsi" w:cstheme="minorHAnsi"/>
          <w:color w:val="000000"/>
          <w:sz w:val="22"/>
          <w:szCs w:val="22"/>
        </w:rPr>
        <w:t> </w:t>
      </w:r>
      <w:r w:rsidRPr="008D277B">
        <w:rPr>
          <w:rStyle w:val="citation-794"/>
          <w:rFonts w:asciiTheme="minorHAnsi" w:eastAsiaTheme="majorEastAsia" w:hAnsiTheme="minorHAnsi" w:cstheme="minorHAnsi"/>
          <w:i/>
          <w:iCs/>
          <w:color w:val="000000"/>
          <w:sz w:val="22"/>
          <w:szCs w:val="22"/>
        </w:rPr>
        <w:t>e-learning</w:t>
      </w:r>
      <w:r w:rsidRPr="008D277B">
        <w:rPr>
          <w:rStyle w:val="apple-converted-space"/>
          <w:rFonts w:asciiTheme="minorHAnsi" w:hAnsiTheme="minorHAnsi" w:cstheme="minorHAnsi"/>
          <w:color w:val="000000"/>
          <w:sz w:val="22"/>
          <w:szCs w:val="22"/>
        </w:rPr>
        <w:t> </w:t>
      </w:r>
      <w:r w:rsidRPr="008D277B">
        <w:rPr>
          <w:rStyle w:val="citation-794"/>
          <w:rFonts w:asciiTheme="minorHAnsi" w:eastAsiaTheme="majorEastAsia" w:hAnsiTheme="minorHAnsi" w:cstheme="minorHAnsi"/>
          <w:color w:val="000000"/>
          <w:sz w:val="22"/>
          <w:szCs w:val="22"/>
        </w:rPr>
        <w:t xml:space="preserve">ou de formats courts et concrets, axés sur l'interprétation des résultats, </w:t>
      </w:r>
      <w:r w:rsidR="00AE7882">
        <w:rPr>
          <w:rStyle w:val="citation-794"/>
          <w:rFonts w:asciiTheme="minorHAnsi" w:eastAsiaTheme="majorEastAsia" w:hAnsiTheme="minorHAnsi" w:cstheme="minorHAnsi"/>
          <w:color w:val="000000"/>
          <w:sz w:val="22"/>
          <w:szCs w:val="22"/>
        </w:rPr>
        <w:t>pourrait</w:t>
      </w:r>
      <w:r w:rsidRPr="008D277B">
        <w:rPr>
          <w:rStyle w:val="citation-794"/>
          <w:rFonts w:asciiTheme="minorHAnsi" w:eastAsiaTheme="majorEastAsia" w:hAnsiTheme="minorHAnsi" w:cstheme="minorHAnsi"/>
          <w:color w:val="000000"/>
          <w:sz w:val="22"/>
          <w:szCs w:val="22"/>
        </w:rPr>
        <w:t xml:space="preserve"> être une attente forte des praticiens libéraux pour pallier le manque de temps</w:t>
      </w:r>
      <w:r w:rsidRPr="008D277B">
        <w:rPr>
          <w:rFonts w:asciiTheme="minorHAnsi" w:hAnsiTheme="minorHAnsi" w:cstheme="minorHAnsi"/>
          <w:color w:val="000000"/>
          <w:sz w:val="22"/>
          <w:szCs w:val="22"/>
        </w:rPr>
        <w:t>.</w:t>
      </w:r>
    </w:p>
    <w:p w14:paraId="536B1AD6" w14:textId="6411B788" w:rsidR="008D277B" w:rsidRPr="008D277B" w:rsidRDefault="008D277B" w:rsidP="00207558">
      <w:pPr>
        <w:pStyle w:val="Titre3"/>
      </w:pPr>
      <w:bookmarkStart w:id="98" w:name="_Toc221704661"/>
      <w:r w:rsidRPr="008D277B">
        <w:t>Inscription dans une dynamique pluriprofessionnelle</w:t>
      </w:r>
      <w:bookmarkEnd w:id="98"/>
      <w:r w:rsidRPr="008D277B">
        <w:t xml:space="preserve"> </w:t>
      </w:r>
    </w:p>
    <w:p w14:paraId="4EF1568A" w14:textId="78F9653A" w:rsidR="008D277B" w:rsidRPr="00207558" w:rsidRDefault="008D277B" w:rsidP="008D277B">
      <w:pPr>
        <w:pStyle w:val="NormalWeb"/>
        <w:spacing w:line="360" w:lineRule="auto"/>
        <w:jc w:val="both"/>
        <w:rPr>
          <w:rFonts w:asciiTheme="minorHAnsi" w:hAnsiTheme="minorHAnsi" w:cstheme="minorHAnsi"/>
          <w:color w:val="000000"/>
          <w:sz w:val="22"/>
          <w:szCs w:val="22"/>
        </w:rPr>
      </w:pPr>
      <w:r w:rsidRPr="008D277B">
        <w:rPr>
          <w:rFonts w:asciiTheme="minorHAnsi" w:hAnsiTheme="minorHAnsi" w:cstheme="minorHAnsi"/>
          <w:color w:val="000000"/>
          <w:sz w:val="22"/>
          <w:szCs w:val="22"/>
        </w:rPr>
        <w:t xml:space="preserve">La prévention des chutes ne peut rester </w:t>
      </w:r>
      <w:r w:rsidR="00271111">
        <w:rPr>
          <w:rFonts w:asciiTheme="minorHAnsi" w:hAnsiTheme="minorHAnsi" w:cstheme="minorHAnsi"/>
          <w:color w:val="000000"/>
          <w:sz w:val="22"/>
          <w:szCs w:val="22"/>
        </w:rPr>
        <w:t xml:space="preserve">l’objectif </w:t>
      </w:r>
      <w:r w:rsidRPr="008D277B">
        <w:rPr>
          <w:rFonts w:asciiTheme="minorHAnsi" w:hAnsiTheme="minorHAnsi" w:cstheme="minorHAnsi"/>
          <w:color w:val="000000"/>
          <w:sz w:val="22"/>
          <w:szCs w:val="22"/>
        </w:rPr>
        <w:t>d'une seule profession.</w:t>
      </w:r>
      <w:r w:rsidRPr="008D277B">
        <w:rPr>
          <w:rStyle w:val="apple-converted-space"/>
          <w:rFonts w:asciiTheme="minorHAnsi" w:hAnsiTheme="minorHAnsi" w:cstheme="minorHAnsi"/>
          <w:color w:val="000000"/>
          <w:sz w:val="22"/>
          <w:szCs w:val="22"/>
        </w:rPr>
        <w:t> </w:t>
      </w:r>
      <w:r w:rsidRPr="008D277B">
        <w:rPr>
          <w:rStyle w:val="citation-793"/>
          <w:rFonts w:asciiTheme="minorHAnsi" w:eastAsiaTheme="majorEastAsia" w:hAnsiTheme="minorHAnsi" w:cstheme="minorHAnsi"/>
          <w:color w:val="000000"/>
          <w:sz w:val="22"/>
          <w:szCs w:val="22"/>
        </w:rPr>
        <w:t xml:space="preserve">Une perspective d'ouverture réside dans l'intégration du MK au sein de dispositifs comme </w:t>
      </w:r>
      <w:r w:rsidRPr="00207558">
        <w:rPr>
          <w:rStyle w:val="citation-793"/>
          <w:rFonts w:asciiTheme="minorHAnsi" w:eastAsiaTheme="majorEastAsia" w:hAnsiTheme="minorHAnsi" w:cstheme="minorHAnsi"/>
          <w:color w:val="000000"/>
          <w:sz w:val="22"/>
          <w:szCs w:val="22"/>
        </w:rPr>
        <w:t>les</w:t>
      </w:r>
      <w:r w:rsidRPr="00207558">
        <w:rPr>
          <w:rStyle w:val="apple-converted-space"/>
          <w:rFonts w:asciiTheme="minorHAnsi" w:hAnsiTheme="minorHAnsi" w:cstheme="minorHAnsi"/>
          <w:color w:val="000000"/>
          <w:sz w:val="22"/>
          <w:szCs w:val="22"/>
        </w:rPr>
        <w:t> </w:t>
      </w:r>
      <w:r w:rsidRPr="00207558">
        <w:rPr>
          <w:rStyle w:val="citation-793"/>
          <w:rFonts w:asciiTheme="minorHAnsi" w:eastAsiaTheme="majorEastAsia" w:hAnsiTheme="minorHAnsi" w:cstheme="minorHAnsi"/>
          <w:color w:val="000000"/>
          <w:sz w:val="22"/>
          <w:szCs w:val="22"/>
        </w:rPr>
        <w:t>Communautés Professionnelles Territoriales de Santé (CPTS)</w:t>
      </w:r>
      <w:r w:rsidRPr="00207558">
        <w:rPr>
          <w:rStyle w:val="apple-converted-space"/>
          <w:rFonts w:asciiTheme="minorHAnsi" w:hAnsiTheme="minorHAnsi" w:cstheme="minorHAnsi"/>
          <w:color w:val="000000"/>
          <w:sz w:val="22"/>
          <w:szCs w:val="22"/>
        </w:rPr>
        <w:t> </w:t>
      </w:r>
      <w:r w:rsidRPr="00207558">
        <w:rPr>
          <w:rStyle w:val="citation-793"/>
          <w:rFonts w:asciiTheme="minorHAnsi" w:eastAsiaTheme="majorEastAsia" w:hAnsiTheme="minorHAnsi" w:cstheme="minorHAnsi"/>
          <w:color w:val="000000"/>
          <w:sz w:val="22"/>
          <w:szCs w:val="22"/>
        </w:rPr>
        <w:t>ou le programme</w:t>
      </w:r>
      <w:r w:rsidRPr="00207558">
        <w:rPr>
          <w:rStyle w:val="apple-converted-space"/>
          <w:rFonts w:asciiTheme="minorHAnsi" w:hAnsiTheme="minorHAnsi" w:cstheme="minorHAnsi"/>
          <w:color w:val="000000"/>
          <w:sz w:val="22"/>
          <w:szCs w:val="22"/>
        </w:rPr>
        <w:t> </w:t>
      </w:r>
      <w:r w:rsidRPr="00207558">
        <w:rPr>
          <w:rStyle w:val="citation-793"/>
          <w:rFonts w:asciiTheme="minorHAnsi" w:eastAsiaTheme="majorEastAsia" w:hAnsiTheme="minorHAnsi" w:cstheme="minorHAnsi"/>
          <w:color w:val="000000"/>
          <w:sz w:val="22"/>
          <w:szCs w:val="22"/>
        </w:rPr>
        <w:t>ICOPE</w:t>
      </w:r>
      <w:r w:rsidRPr="00207558">
        <w:rPr>
          <w:rStyle w:val="apple-converted-space"/>
          <w:rFonts w:asciiTheme="minorHAnsi" w:hAnsiTheme="minorHAnsi" w:cstheme="minorHAnsi"/>
          <w:color w:val="000000"/>
          <w:sz w:val="22"/>
          <w:szCs w:val="22"/>
        </w:rPr>
        <w:t> </w:t>
      </w:r>
      <w:r w:rsidRPr="00207558">
        <w:rPr>
          <w:rStyle w:val="citation-793"/>
          <w:rFonts w:asciiTheme="minorHAnsi" w:eastAsiaTheme="majorEastAsia" w:hAnsiTheme="minorHAnsi" w:cstheme="minorHAnsi"/>
          <w:color w:val="000000"/>
          <w:sz w:val="22"/>
          <w:szCs w:val="22"/>
        </w:rPr>
        <w:t>de l'OMS</w:t>
      </w:r>
      <w:r w:rsidRPr="00207558">
        <w:rPr>
          <w:rFonts w:asciiTheme="minorHAnsi" w:hAnsiTheme="minorHAnsi" w:cstheme="minorHAnsi"/>
          <w:color w:val="000000"/>
          <w:sz w:val="22"/>
          <w:szCs w:val="22"/>
        </w:rPr>
        <w:t>. Le kinésithérapeute, par sa maîtrise des tests cliniques, doit devenir le référent de l'axe "mobilité" pour les médecins généralistes et les infirmiers.</w:t>
      </w:r>
      <w:r w:rsidRPr="00207558">
        <w:rPr>
          <w:rStyle w:val="apple-converted-space"/>
          <w:rFonts w:asciiTheme="minorHAnsi" w:hAnsiTheme="minorHAnsi" w:cstheme="minorHAnsi"/>
          <w:color w:val="000000"/>
          <w:sz w:val="22"/>
          <w:szCs w:val="22"/>
        </w:rPr>
        <w:t> </w:t>
      </w:r>
      <w:r w:rsidRPr="00207558">
        <w:rPr>
          <w:rStyle w:val="citation-792"/>
          <w:rFonts w:asciiTheme="minorHAnsi" w:eastAsiaTheme="majorEastAsia" w:hAnsiTheme="minorHAnsi" w:cstheme="minorHAnsi"/>
          <w:color w:val="000000"/>
          <w:sz w:val="22"/>
          <w:szCs w:val="22"/>
        </w:rPr>
        <w:t>Ce travail en réseau permettrait une meilleure orientation des patients fragiles et une optimisation du parcours de soins, conformément aux enjeux du</w:t>
      </w:r>
      <w:r w:rsidRPr="00207558">
        <w:rPr>
          <w:rStyle w:val="apple-converted-space"/>
          <w:rFonts w:asciiTheme="minorHAnsi" w:hAnsiTheme="minorHAnsi" w:cstheme="minorHAnsi"/>
          <w:color w:val="000000"/>
          <w:sz w:val="22"/>
          <w:szCs w:val="22"/>
        </w:rPr>
        <w:t> </w:t>
      </w:r>
      <w:r w:rsidRPr="00207558">
        <w:rPr>
          <w:rStyle w:val="citation-792"/>
          <w:rFonts w:asciiTheme="minorHAnsi" w:eastAsiaTheme="majorEastAsia" w:hAnsiTheme="minorHAnsi" w:cstheme="minorHAnsi"/>
          <w:color w:val="000000"/>
          <w:sz w:val="22"/>
          <w:szCs w:val="22"/>
        </w:rPr>
        <w:t>Plan Antichute 2022</w:t>
      </w:r>
      <w:r w:rsidRPr="00207558">
        <w:rPr>
          <w:rFonts w:asciiTheme="minorHAnsi" w:hAnsiTheme="minorHAnsi" w:cstheme="minorHAnsi"/>
          <w:color w:val="000000"/>
          <w:sz w:val="22"/>
          <w:szCs w:val="22"/>
        </w:rPr>
        <w:t>.</w:t>
      </w:r>
    </w:p>
    <w:p w14:paraId="1B91BAF6" w14:textId="7B3E7949" w:rsidR="008D277B" w:rsidRPr="008D277B" w:rsidRDefault="008D277B" w:rsidP="00207558">
      <w:pPr>
        <w:pStyle w:val="Titre3"/>
      </w:pPr>
      <w:bookmarkStart w:id="99" w:name="_Toc221704662"/>
      <w:r w:rsidRPr="008D277B">
        <w:t>Pistes pour des recherches futures</w:t>
      </w:r>
      <w:bookmarkEnd w:id="99"/>
    </w:p>
    <w:p w14:paraId="40BE2624" w14:textId="0C28F936" w:rsidR="008D277B" w:rsidRPr="008D277B" w:rsidRDefault="00271111" w:rsidP="008D277B">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C</w:t>
      </w:r>
      <w:r w:rsidR="008D277B" w:rsidRPr="008D277B">
        <w:rPr>
          <w:rFonts w:asciiTheme="minorHAnsi" w:hAnsiTheme="minorHAnsi" w:cstheme="minorHAnsi"/>
          <w:color w:val="000000"/>
          <w:sz w:val="22"/>
          <w:szCs w:val="22"/>
        </w:rPr>
        <w:t>e travail d'initiation pourrait être prolongé par une étude à plus grande échelle. Il serait pertinent d'évaluer l'impact réel de l'utilisation de tests exhaustifs (type Mini-</w:t>
      </w:r>
      <w:proofErr w:type="spellStart"/>
      <w:r w:rsidR="008D277B" w:rsidRPr="008D277B">
        <w:rPr>
          <w:rFonts w:asciiTheme="minorHAnsi" w:hAnsiTheme="minorHAnsi" w:cstheme="minorHAnsi"/>
          <w:color w:val="000000"/>
          <w:sz w:val="22"/>
          <w:szCs w:val="22"/>
        </w:rPr>
        <w:t>BESTest</w:t>
      </w:r>
      <w:proofErr w:type="spellEnd"/>
      <w:r w:rsidR="008D277B" w:rsidRPr="008D277B">
        <w:rPr>
          <w:rFonts w:asciiTheme="minorHAnsi" w:hAnsiTheme="minorHAnsi" w:cstheme="minorHAnsi"/>
          <w:color w:val="000000"/>
          <w:sz w:val="22"/>
          <w:szCs w:val="22"/>
        </w:rPr>
        <w:t>) sur l'efficacité de la rééducation : un patient dont le système déficitaire a été précisément identifié chute-t-il statistiquement moins qu'un patient ayant reçu une rééducation globale ? Une telle étude permettrait de valider définitivement l'intérêt clinique du diagnostic différentiel en libéral.</w:t>
      </w:r>
    </w:p>
    <w:p w14:paraId="59CA0473" w14:textId="7B399B8C" w:rsidR="008D277B" w:rsidRDefault="008D277B" w:rsidP="008D277B">
      <w:pPr>
        <w:spacing w:line="360" w:lineRule="auto"/>
        <w:jc w:val="both"/>
        <w:rPr>
          <w:rFonts w:cstheme="minorHAnsi"/>
        </w:rPr>
      </w:pPr>
    </w:p>
    <w:p w14:paraId="3008226A" w14:textId="77777777" w:rsidR="00FA419F" w:rsidRDefault="00FA419F" w:rsidP="008D277B">
      <w:pPr>
        <w:spacing w:line="360" w:lineRule="auto"/>
        <w:jc w:val="both"/>
        <w:rPr>
          <w:rFonts w:cstheme="minorHAnsi"/>
        </w:rPr>
      </w:pPr>
    </w:p>
    <w:p w14:paraId="447E61EF" w14:textId="77777777" w:rsidR="00FA419F" w:rsidRPr="008D277B" w:rsidRDefault="00FA419F" w:rsidP="008D277B">
      <w:pPr>
        <w:spacing w:line="360" w:lineRule="auto"/>
        <w:jc w:val="both"/>
        <w:rPr>
          <w:rFonts w:cstheme="minorHAnsi"/>
        </w:rPr>
      </w:pPr>
    </w:p>
    <w:p w14:paraId="361993A8" w14:textId="78A57EBE" w:rsidR="008D277B" w:rsidRPr="00207558" w:rsidRDefault="008D277B" w:rsidP="00207558">
      <w:pPr>
        <w:pStyle w:val="Titre1"/>
      </w:pPr>
      <w:bookmarkStart w:id="100" w:name="_Toc221704663"/>
      <w:r w:rsidRPr="00207558">
        <w:lastRenderedPageBreak/>
        <w:t>Conclusion</w:t>
      </w:r>
      <w:bookmarkEnd w:id="100"/>
    </w:p>
    <w:p w14:paraId="0E4272BE" w14:textId="77777777" w:rsidR="008D277B" w:rsidRPr="008D277B" w:rsidRDefault="008D277B" w:rsidP="008D277B">
      <w:pPr>
        <w:pStyle w:val="NormalWeb"/>
        <w:spacing w:line="360" w:lineRule="auto"/>
        <w:jc w:val="both"/>
        <w:rPr>
          <w:rFonts w:asciiTheme="minorHAnsi" w:hAnsiTheme="minorHAnsi" w:cstheme="minorHAnsi"/>
          <w:color w:val="000000"/>
          <w:sz w:val="22"/>
          <w:szCs w:val="22"/>
        </w:rPr>
      </w:pPr>
      <w:r w:rsidRPr="008D277B">
        <w:rPr>
          <w:rStyle w:val="citation-791"/>
          <w:rFonts w:asciiTheme="minorHAnsi" w:eastAsiaTheme="majorEastAsia" w:hAnsiTheme="minorHAnsi" w:cstheme="minorHAnsi"/>
          <w:color w:val="000000"/>
          <w:sz w:val="22"/>
          <w:szCs w:val="22"/>
        </w:rPr>
        <w:t>Ce Mémoire d’Initiation à la Recherche visait à identifier les tests utilisés préférentiellement par les kinésithérapeutes français pour évaluer l’équilibre des personnes âgées et à comprendre les motivations de ces choix</w:t>
      </w:r>
      <w:r w:rsidRPr="008D277B">
        <w:rPr>
          <w:rFonts w:asciiTheme="minorHAnsi" w:hAnsiTheme="minorHAnsi" w:cstheme="minorHAnsi"/>
          <w:color w:val="000000"/>
          <w:sz w:val="22"/>
          <w:szCs w:val="22"/>
        </w:rPr>
        <w:t>.</w:t>
      </w:r>
    </w:p>
    <w:p w14:paraId="7986392A" w14:textId="14123918" w:rsidR="00FA419F" w:rsidRDefault="008D277B" w:rsidP="008D277B">
      <w:pPr>
        <w:pStyle w:val="NormalWeb"/>
        <w:spacing w:line="360" w:lineRule="auto"/>
        <w:jc w:val="both"/>
        <w:rPr>
          <w:rFonts w:asciiTheme="minorHAnsi" w:hAnsiTheme="minorHAnsi" w:cstheme="minorHAnsi"/>
          <w:color w:val="000000"/>
          <w:sz w:val="22"/>
          <w:szCs w:val="22"/>
        </w:rPr>
      </w:pPr>
      <w:r w:rsidRPr="008D277B">
        <w:rPr>
          <w:rStyle w:val="citation-790"/>
          <w:rFonts w:asciiTheme="minorHAnsi" w:eastAsiaTheme="majorEastAsia" w:hAnsiTheme="minorHAnsi" w:cstheme="minorHAnsi"/>
          <w:color w:val="000000"/>
          <w:sz w:val="22"/>
          <w:szCs w:val="22"/>
        </w:rPr>
        <w:t>L’étude a permis de confirmer que si l’évaluation de l’équilibre est une pratique régulière, elle reste dominée par une recherche d'efficience immédiate</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207558">
        <w:rPr>
          <w:rStyle w:val="citation-789"/>
          <w:rFonts w:asciiTheme="minorHAnsi" w:hAnsiTheme="minorHAnsi" w:cstheme="minorHAnsi"/>
          <w:color w:val="000000"/>
          <w:sz w:val="22"/>
          <w:szCs w:val="22"/>
        </w:rPr>
        <w:t>Le</w:t>
      </w:r>
      <w:r w:rsidRPr="00207558">
        <w:rPr>
          <w:rStyle w:val="apple-converted-space"/>
          <w:rFonts w:asciiTheme="minorHAnsi" w:hAnsiTheme="minorHAnsi" w:cstheme="minorHAnsi"/>
          <w:color w:val="000000"/>
          <w:sz w:val="22"/>
          <w:szCs w:val="22"/>
        </w:rPr>
        <w:t> </w:t>
      </w:r>
      <w:r w:rsidRPr="00207558">
        <w:rPr>
          <w:rStyle w:val="citation-789"/>
          <w:rFonts w:asciiTheme="minorHAnsi" w:hAnsiTheme="minorHAnsi" w:cstheme="minorHAnsi"/>
          <w:color w:val="000000"/>
          <w:sz w:val="22"/>
          <w:szCs w:val="22"/>
        </w:rPr>
        <w:t>test d’appui unipodal</w:t>
      </w:r>
      <w:r w:rsidRPr="00207558">
        <w:rPr>
          <w:rStyle w:val="apple-converted-space"/>
          <w:rFonts w:asciiTheme="minorHAnsi" w:hAnsiTheme="minorHAnsi" w:cstheme="minorHAnsi"/>
          <w:color w:val="000000"/>
          <w:sz w:val="22"/>
          <w:szCs w:val="22"/>
        </w:rPr>
        <w:t> </w:t>
      </w:r>
      <w:r w:rsidRPr="00207558">
        <w:rPr>
          <w:rStyle w:val="citation-789"/>
          <w:rFonts w:asciiTheme="minorHAnsi" w:hAnsiTheme="minorHAnsi" w:cstheme="minorHAnsi"/>
          <w:color w:val="000000"/>
          <w:sz w:val="22"/>
          <w:szCs w:val="22"/>
        </w:rPr>
        <w:t>s'impose comme l'outil de référence absolu sur le terrain, plébiscité pour sa rapidité et sa simplicité, malgré ses limites en termes de diagnostic fonctionnel précis</w:t>
      </w:r>
      <w:r w:rsidRPr="00207558">
        <w:rPr>
          <w:rFonts w:asciiTheme="minorHAnsi" w:hAnsiTheme="minorHAnsi" w:cstheme="minorHAnsi"/>
          <w:color w:val="000000"/>
          <w:sz w:val="22"/>
          <w:szCs w:val="22"/>
        </w:rPr>
        <w:t>.</w:t>
      </w:r>
    </w:p>
    <w:p w14:paraId="08146D60" w14:textId="5E8449DB" w:rsidR="008D277B" w:rsidRPr="008D277B" w:rsidRDefault="00FA419F" w:rsidP="008D277B">
      <w:pPr>
        <w:pStyle w:val="NormalWeb"/>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C</w:t>
      </w:r>
      <w:r w:rsidR="008D277B" w:rsidRPr="008D277B">
        <w:rPr>
          <w:rFonts w:asciiTheme="minorHAnsi" w:hAnsiTheme="minorHAnsi" w:cstheme="minorHAnsi"/>
          <w:color w:val="000000"/>
          <w:sz w:val="22"/>
          <w:szCs w:val="22"/>
        </w:rPr>
        <w:t>ette étude révèle également un levier puissant : la motivation des praticiens.</w:t>
      </w:r>
      <w:r w:rsidR="008D277B" w:rsidRPr="008D277B">
        <w:rPr>
          <w:rStyle w:val="apple-converted-space"/>
          <w:rFonts w:asciiTheme="minorHAnsi" w:hAnsiTheme="minorHAnsi" w:cstheme="minorHAnsi"/>
          <w:color w:val="000000"/>
          <w:sz w:val="22"/>
          <w:szCs w:val="22"/>
        </w:rPr>
        <w:t> </w:t>
      </w:r>
      <w:r w:rsidR="008D277B" w:rsidRPr="008D277B">
        <w:rPr>
          <w:rStyle w:val="citation-786"/>
          <w:rFonts w:asciiTheme="minorHAnsi" w:hAnsiTheme="minorHAnsi" w:cstheme="minorHAnsi"/>
          <w:color w:val="000000"/>
          <w:sz w:val="22"/>
          <w:szCs w:val="22"/>
        </w:rPr>
        <w:t>La profession exprime un besoin criant de formation pour sortir de l'empirisme et s'inscrire dans une pratique fondée sur les preuves (</w:t>
      </w:r>
      <w:proofErr w:type="spellStart"/>
      <w:r w:rsidR="008D277B" w:rsidRPr="008D277B">
        <w:rPr>
          <w:rStyle w:val="citation-786"/>
          <w:rFonts w:asciiTheme="minorHAnsi" w:hAnsiTheme="minorHAnsi" w:cstheme="minorHAnsi"/>
          <w:i/>
          <w:iCs/>
          <w:color w:val="000000"/>
          <w:sz w:val="22"/>
          <w:szCs w:val="22"/>
        </w:rPr>
        <w:t>Evidence-Based</w:t>
      </w:r>
      <w:proofErr w:type="spellEnd"/>
      <w:r w:rsidR="008D277B" w:rsidRPr="008D277B">
        <w:rPr>
          <w:rStyle w:val="citation-786"/>
          <w:rFonts w:asciiTheme="minorHAnsi" w:hAnsiTheme="minorHAnsi" w:cstheme="minorHAnsi"/>
          <w:i/>
          <w:iCs/>
          <w:color w:val="000000"/>
          <w:sz w:val="22"/>
          <w:szCs w:val="22"/>
        </w:rPr>
        <w:t xml:space="preserve"> Practice</w:t>
      </w:r>
      <w:r w:rsidR="008D277B" w:rsidRPr="008D277B">
        <w:rPr>
          <w:rStyle w:val="citation-786"/>
          <w:rFonts w:asciiTheme="minorHAnsi" w:hAnsiTheme="minorHAnsi" w:cstheme="minorHAnsi"/>
          <w:color w:val="000000"/>
          <w:sz w:val="22"/>
          <w:szCs w:val="22"/>
        </w:rPr>
        <w:t>)</w:t>
      </w:r>
      <w:r w:rsidR="008D277B" w:rsidRPr="008D277B">
        <w:rPr>
          <w:rFonts w:asciiTheme="minorHAnsi" w:hAnsiTheme="minorHAnsi" w:cstheme="minorHAnsi"/>
          <w:color w:val="000000"/>
          <w:sz w:val="22"/>
          <w:szCs w:val="22"/>
        </w:rPr>
        <w:t>.</w:t>
      </w:r>
    </w:p>
    <w:p w14:paraId="12B4BD11" w14:textId="6295B6EA" w:rsidR="008D277B" w:rsidRDefault="008D277B" w:rsidP="008D277B">
      <w:pPr>
        <w:pStyle w:val="NormalWeb"/>
        <w:spacing w:line="360" w:lineRule="auto"/>
        <w:jc w:val="both"/>
        <w:rPr>
          <w:rStyle w:val="citation-784"/>
          <w:rFonts w:asciiTheme="minorHAnsi" w:hAnsiTheme="minorHAnsi" w:cstheme="minorHAnsi"/>
          <w:color w:val="000000"/>
          <w:sz w:val="22"/>
          <w:szCs w:val="22"/>
        </w:rPr>
      </w:pPr>
      <w:r w:rsidRPr="008D277B">
        <w:rPr>
          <w:rStyle w:val="citation-785"/>
          <w:rFonts w:asciiTheme="minorHAnsi" w:hAnsiTheme="minorHAnsi" w:cstheme="minorHAnsi"/>
          <w:color w:val="000000"/>
          <w:sz w:val="22"/>
          <w:szCs w:val="22"/>
        </w:rPr>
        <w:t>En conclusion, la prévention des chutes, enjeu de santé publique majeur, ne pourra être optimisée que par une meilleure diffusion des savoirs scientifiques et une adaptation des outils de diagnostic aux réalités du terrain</w:t>
      </w:r>
      <w:r w:rsidRPr="008D277B">
        <w:rPr>
          <w:rFonts w:asciiTheme="minorHAnsi" w:hAnsiTheme="minorHAnsi" w:cstheme="minorHAnsi"/>
          <w:color w:val="000000"/>
          <w:sz w:val="22"/>
          <w:szCs w:val="22"/>
        </w:rPr>
        <w:t>.</w:t>
      </w:r>
      <w:r w:rsidRPr="008D277B">
        <w:rPr>
          <w:rStyle w:val="apple-converted-space"/>
          <w:rFonts w:asciiTheme="minorHAnsi" w:hAnsiTheme="minorHAnsi" w:cstheme="minorHAnsi"/>
          <w:color w:val="000000"/>
          <w:sz w:val="22"/>
          <w:szCs w:val="22"/>
        </w:rPr>
        <w:t> </w:t>
      </w:r>
      <w:r w:rsidRPr="008D277B">
        <w:rPr>
          <w:rStyle w:val="citation-784"/>
          <w:rFonts w:asciiTheme="minorHAnsi" w:hAnsiTheme="minorHAnsi" w:cstheme="minorHAnsi"/>
          <w:color w:val="000000"/>
          <w:sz w:val="22"/>
          <w:szCs w:val="22"/>
        </w:rPr>
        <w:t>Le masseur-kinésithérapeute, acteur pivot de l'autonomie, dispose des compétences pour relever ce défi, à condition d'être soutenu par une formation continue adaptée et une reconnaissance accrue de son rôle de diagnosticien dans le dépistage de la fragilité</w:t>
      </w:r>
      <w:r w:rsidR="00207558">
        <w:rPr>
          <w:rStyle w:val="citation-784"/>
          <w:rFonts w:asciiTheme="minorHAnsi" w:hAnsiTheme="minorHAnsi" w:cstheme="minorHAnsi"/>
          <w:color w:val="000000"/>
          <w:sz w:val="22"/>
          <w:szCs w:val="22"/>
        </w:rPr>
        <w:t>.</w:t>
      </w:r>
    </w:p>
    <w:p w14:paraId="7DA95635"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1207F63B"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37712369"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5FBA0192"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5921850E"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2014C9DB"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3BF54DFA"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13DF7428"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58764415" w14:textId="77777777" w:rsidR="006905CE" w:rsidRDefault="006905CE" w:rsidP="008D277B">
      <w:pPr>
        <w:pStyle w:val="NormalWeb"/>
        <w:spacing w:line="360" w:lineRule="auto"/>
        <w:jc w:val="both"/>
        <w:rPr>
          <w:rStyle w:val="citation-784"/>
          <w:rFonts w:asciiTheme="minorHAnsi" w:hAnsiTheme="minorHAnsi" w:cstheme="minorHAnsi"/>
          <w:color w:val="000000"/>
          <w:sz w:val="22"/>
          <w:szCs w:val="22"/>
        </w:rPr>
      </w:pPr>
    </w:p>
    <w:p w14:paraId="15EBAF45" w14:textId="28D02D5B" w:rsidR="006905CE" w:rsidRDefault="006905CE" w:rsidP="006905CE">
      <w:pPr>
        <w:pStyle w:val="Titre1"/>
      </w:pPr>
      <w:bookmarkStart w:id="101" w:name="_Toc221704664"/>
      <w:r>
        <w:lastRenderedPageBreak/>
        <w:t>Bibliographie</w:t>
      </w:r>
      <w:bookmarkEnd w:id="101"/>
      <w:r>
        <w:t xml:space="preserve"> </w:t>
      </w:r>
    </w:p>
    <w:p w14:paraId="3041DCFB" w14:textId="77777777" w:rsidR="006905CE" w:rsidRDefault="006905CE" w:rsidP="006905CE"/>
    <w:p w14:paraId="55FFD081" w14:textId="77777777" w:rsidR="006905CE" w:rsidRPr="006905CE" w:rsidRDefault="006905CE" w:rsidP="006905CE">
      <w:pPr>
        <w:pStyle w:val="Bibliographie"/>
        <w:rPr>
          <w:rFonts w:ascii="Calibri" w:cs="Calibri"/>
        </w:rPr>
      </w:pPr>
      <w:r>
        <w:fldChar w:fldCharType="begin"/>
      </w:r>
      <w:r>
        <w:instrText xml:space="preserve"> ADDIN ZOTERO_BIBL {"uncited":[],"omitted":[],"custom":[]} CSL_BIBLIOGRAPHY </w:instrText>
      </w:r>
      <w:r>
        <w:fldChar w:fldCharType="separate"/>
      </w:r>
      <w:r w:rsidRPr="006905CE">
        <w:rPr>
          <w:rFonts w:ascii="Calibri" w:cs="Calibri"/>
        </w:rPr>
        <w:t xml:space="preserve">Agrawal, Y., Carey, J. P., Della </w:t>
      </w:r>
      <w:proofErr w:type="spellStart"/>
      <w:r w:rsidRPr="006905CE">
        <w:rPr>
          <w:rFonts w:ascii="Calibri" w:cs="Calibri"/>
        </w:rPr>
        <w:t>Santina</w:t>
      </w:r>
      <w:proofErr w:type="spellEnd"/>
      <w:r w:rsidRPr="006905CE">
        <w:rPr>
          <w:rFonts w:ascii="Calibri" w:cs="Calibri"/>
        </w:rPr>
        <w:t xml:space="preserve">, C. C., Schubert, M. C., &amp; Minor, L. B. (2009). </w:t>
      </w:r>
      <w:proofErr w:type="spellStart"/>
      <w:r w:rsidRPr="006905CE">
        <w:rPr>
          <w:rFonts w:ascii="Calibri" w:cs="Calibri"/>
        </w:rPr>
        <w:t>Disorders</w:t>
      </w:r>
      <w:proofErr w:type="spellEnd"/>
      <w:r w:rsidRPr="006905CE">
        <w:rPr>
          <w:rFonts w:ascii="Calibri" w:cs="Calibri"/>
        </w:rPr>
        <w:t xml:space="preserve"> of balance and </w:t>
      </w:r>
      <w:proofErr w:type="spellStart"/>
      <w:r w:rsidRPr="006905CE">
        <w:rPr>
          <w:rFonts w:ascii="Calibri" w:cs="Calibri"/>
        </w:rPr>
        <w:t>vestibular</w:t>
      </w:r>
      <w:proofErr w:type="spellEnd"/>
      <w:r w:rsidRPr="006905CE">
        <w:rPr>
          <w:rFonts w:ascii="Calibri" w:cs="Calibri"/>
        </w:rPr>
        <w:t xml:space="preserve"> </w:t>
      </w:r>
      <w:proofErr w:type="spellStart"/>
      <w:r w:rsidRPr="006905CE">
        <w:rPr>
          <w:rFonts w:ascii="Calibri" w:cs="Calibri"/>
        </w:rPr>
        <w:t>function</w:t>
      </w:r>
      <w:proofErr w:type="spellEnd"/>
      <w:r w:rsidRPr="006905CE">
        <w:rPr>
          <w:rFonts w:ascii="Calibri" w:cs="Calibri"/>
        </w:rPr>
        <w:t xml:space="preserve"> in US </w:t>
      </w:r>
      <w:proofErr w:type="spellStart"/>
      <w:r w:rsidRPr="006905CE">
        <w:rPr>
          <w:rFonts w:ascii="Calibri" w:cs="Calibri"/>
        </w:rPr>
        <w:t>adults</w:t>
      </w:r>
      <w:proofErr w:type="spellEnd"/>
      <w:r w:rsidRPr="006905CE">
        <w:rPr>
          <w:rFonts w:ascii="Calibri" w:cs="Calibri"/>
        </w:rPr>
        <w:t xml:space="preserve"> : Data </w:t>
      </w:r>
      <w:proofErr w:type="spellStart"/>
      <w:r w:rsidRPr="006905CE">
        <w:rPr>
          <w:rFonts w:ascii="Calibri" w:cs="Calibri"/>
        </w:rPr>
        <w:t>from</w:t>
      </w:r>
      <w:proofErr w:type="spellEnd"/>
      <w:r w:rsidRPr="006905CE">
        <w:rPr>
          <w:rFonts w:ascii="Calibri" w:cs="Calibri"/>
        </w:rPr>
        <w:t xml:space="preserve"> the National </w:t>
      </w:r>
      <w:proofErr w:type="spellStart"/>
      <w:r w:rsidRPr="006905CE">
        <w:rPr>
          <w:rFonts w:ascii="Calibri" w:cs="Calibri"/>
        </w:rPr>
        <w:t>Health</w:t>
      </w:r>
      <w:proofErr w:type="spellEnd"/>
      <w:r w:rsidRPr="006905CE">
        <w:rPr>
          <w:rFonts w:ascii="Calibri" w:cs="Calibri"/>
        </w:rPr>
        <w:t xml:space="preserve"> and Nutrition </w:t>
      </w:r>
      <w:proofErr w:type="spellStart"/>
      <w:r w:rsidRPr="006905CE">
        <w:rPr>
          <w:rFonts w:ascii="Calibri" w:cs="Calibri"/>
        </w:rPr>
        <w:t>Examination</w:t>
      </w:r>
      <w:proofErr w:type="spellEnd"/>
      <w:r w:rsidRPr="006905CE">
        <w:rPr>
          <w:rFonts w:ascii="Calibri" w:cs="Calibri"/>
        </w:rPr>
        <w:t xml:space="preserve"> Survey, 2001-2004. </w:t>
      </w:r>
      <w:r w:rsidRPr="006905CE">
        <w:rPr>
          <w:rFonts w:ascii="Calibri" w:cs="Calibri"/>
          <w:i/>
          <w:iCs/>
        </w:rPr>
        <w:t xml:space="preserve">Archives of </w:t>
      </w:r>
      <w:proofErr w:type="spellStart"/>
      <w:r w:rsidRPr="006905CE">
        <w:rPr>
          <w:rFonts w:ascii="Calibri" w:cs="Calibri"/>
          <w:i/>
          <w:iCs/>
        </w:rPr>
        <w:t>Internal</w:t>
      </w:r>
      <w:proofErr w:type="spellEnd"/>
      <w:r w:rsidRPr="006905CE">
        <w:rPr>
          <w:rFonts w:ascii="Calibri" w:cs="Calibri"/>
          <w:i/>
          <w:iCs/>
        </w:rPr>
        <w:t xml:space="preserve"> </w:t>
      </w:r>
      <w:proofErr w:type="spellStart"/>
      <w:r w:rsidRPr="006905CE">
        <w:rPr>
          <w:rFonts w:ascii="Calibri" w:cs="Calibri"/>
          <w:i/>
          <w:iCs/>
        </w:rPr>
        <w:t>Medicine</w:t>
      </w:r>
      <w:proofErr w:type="spellEnd"/>
      <w:r w:rsidRPr="006905CE">
        <w:rPr>
          <w:rFonts w:ascii="Calibri" w:cs="Calibri"/>
        </w:rPr>
        <w:t xml:space="preserve">, </w:t>
      </w:r>
      <w:r w:rsidRPr="006905CE">
        <w:rPr>
          <w:rFonts w:ascii="Calibri" w:cs="Calibri"/>
          <w:i/>
          <w:iCs/>
        </w:rPr>
        <w:t>169</w:t>
      </w:r>
      <w:r w:rsidRPr="006905CE">
        <w:rPr>
          <w:rFonts w:ascii="Calibri" w:cs="Calibri"/>
        </w:rPr>
        <w:t>(10), 938‑944. https://doi.org/10.1001/archinternmed.2009.66</w:t>
      </w:r>
    </w:p>
    <w:p w14:paraId="51EEC9B7" w14:textId="77777777" w:rsidR="006905CE" w:rsidRPr="006905CE" w:rsidRDefault="006905CE" w:rsidP="006905CE">
      <w:pPr>
        <w:pStyle w:val="Bibliographie"/>
        <w:rPr>
          <w:rFonts w:ascii="Calibri" w:cs="Calibri"/>
        </w:rPr>
      </w:pPr>
      <w:r w:rsidRPr="006905CE">
        <w:rPr>
          <w:rFonts w:ascii="Calibri" w:cs="Calibri"/>
        </w:rPr>
        <w:t xml:space="preserve">Ang, G. C., Low, S. L., &amp; How, C. H. (2020). </w:t>
      </w:r>
      <w:proofErr w:type="spellStart"/>
      <w:r w:rsidRPr="006905CE">
        <w:rPr>
          <w:rFonts w:ascii="Calibri" w:cs="Calibri"/>
        </w:rPr>
        <w:t>Approach</w:t>
      </w:r>
      <w:proofErr w:type="spellEnd"/>
      <w:r w:rsidRPr="006905CE">
        <w:rPr>
          <w:rFonts w:ascii="Calibri" w:cs="Calibri"/>
        </w:rPr>
        <w:t xml:space="preserve"> to </w:t>
      </w:r>
      <w:proofErr w:type="spellStart"/>
      <w:r w:rsidRPr="006905CE">
        <w:rPr>
          <w:rFonts w:ascii="Calibri" w:cs="Calibri"/>
        </w:rPr>
        <w:t>falls</w:t>
      </w:r>
      <w:proofErr w:type="spellEnd"/>
      <w:r w:rsidRPr="006905CE">
        <w:rPr>
          <w:rFonts w:ascii="Calibri" w:cs="Calibri"/>
        </w:rPr>
        <w:t xml:space="preserve"> </w:t>
      </w:r>
      <w:proofErr w:type="spellStart"/>
      <w:r w:rsidRPr="006905CE">
        <w:rPr>
          <w:rFonts w:ascii="Calibri" w:cs="Calibri"/>
        </w:rPr>
        <w:t>among</w:t>
      </w:r>
      <w:proofErr w:type="spellEnd"/>
      <w:r w:rsidRPr="006905CE">
        <w:rPr>
          <w:rFonts w:ascii="Calibri" w:cs="Calibri"/>
        </w:rPr>
        <w:t xml:space="preserve"> the </w:t>
      </w:r>
      <w:proofErr w:type="spellStart"/>
      <w:r w:rsidRPr="006905CE">
        <w:rPr>
          <w:rFonts w:ascii="Calibri" w:cs="Calibri"/>
        </w:rPr>
        <w:t>elderly</w:t>
      </w:r>
      <w:proofErr w:type="spellEnd"/>
      <w:r w:rsidRPr="006905CE">
        <w:rPr>
          <w:rFonts w:ascii="Calibri" w:cs="Calibri"/>
        </w:rPr>
        <w:t xml:space="preserve"> in the </w:t>
      </w:r>
      <w:proofErr w:type="spellStart"/>
      <w:r w:rsidRPr="006905CE">
        <w:rPr>
          <w:rFonts w:ascii="Calibri" w:cs="Calibri"/>
        </w:rPr>
        <w:t>community</w:t>
      </w:r>
      <w:proofErr w:type="spellEnd"/>
      <w:r w:rsidRPr="006905CE">
        <w:rPr>
          <w:rFonts w:ascii="Calibri" w:cs="Calibri"/>
        </w:rPr>
        <w:t xml:space="preserve">. </w:t>
      </w:r>
      <w:r w:rsidRPr="006905CE">
        <w:rPr>
          <w:rFonts w:ascii="Calibri" w:cs="Calibri"/>
          <w:i/>
          <w:iCs/>
        </w:rPr>
        <w:t xml:space="preserve">Singapore </w:t>
      </w:r>
      <w:proofErr w:type="spellStart"/>
      <w:r w:rsidRPr="006905CE">
        <w:rPr>
          <w:rFonts w:ascii="Calibri" w:cs="Calibri"/>
          <w:i/>
          <w:iCs/>
        </w:rPr>
        <w:t>Medical</w:t>
      </w:r>
      <w:proofErr w:type="spellEnd"/>
      <w:r w:rsidRPr="006905CE">
        <w:rPr>
          <w:rFonts w:ascii="Calibri" w:cs="Calibri"/>
          <w:i/>
          <w:iCs/>
        </w:rPr>
        <w:t xml:space="preserve"> Journal</w:t>
      </w:r>
      <w:r w:rsidRPr="006905CE">
        <w:rPr>
          <w:rFonts w:ascii="Calibri" w:cs="Calibri"/>
        </w:rPr>
        <w:t xml:space="preserve">, </w:t>
      </w:r>
      <w:r w:rsidRPr="006905CE">
        <w:rPr>
          <w:rFonts w:ascii="Calibri" w:cs="Calibri"/>
          <w:i/>
          <w:iCs/>
        </w:rPr>
        <w:t>61</w:t>
      </w:r>
      <w:r w:rsidRPr="006905CE">
        <w:rPr>
          <w:rFonts w:ascii="Calibri" w:cs="Calibri"/>
        </w:rPr>
        <w:t>(3), 116‑121. https://doi.org/10.11622/smedj.2020029</w:t>
      </w:r>
    </w:p>
    <w:p w14:paraId="50BD5E0D" w14:textId="77777777" w:rsidR="006905CE" w:rsidRPr="006905CE" w:rsidRDefault="006905CE" w:rsidP="006905CE">
      <w:pPr>
        <w:pStyle w:val="Bibliographie"/>
        <w:rPr>
          <w:rFonts w:ascii="Calibri" w:cs="Calibri"/>
        </w:rPr>
      </w:pPr>
      <w:proofErr w:type="spellStart"/>
      <w:r w:rsidRPr="006905CE">
        <w:rPr>
          <w:rFonts w:ascii="Calibri" w:cs="Calibri"/>
        </w:rPr>
        <w:t>Artino</w:t>
      </w:r>
      <w:proofErr w:type="spellEnd"/>
      <w:r w:rsidRPr="006905CE">
        <w:rPr>
          <w:rFonts w:ascii="Calibri" w:cs="Calibri"/>
        </w:rPr>
        <w:t xml:space="preserve">, A. R., La Rochelle, J. S., </w:t>
      </w:r>
      <w:proofErr w:type="spellStart"/>
      <w:r w:rsidRPr="006905CE">
        <w:rPr>
          <w:rFonts w:ascii="Calibri" w:cs="Calibri"/>
        </w:rPr>
        <w:t>Dezee</w:t>
      </w:r>
      <w:proofErr w:type="spellEnd"/>
      <w:r w:rsidRPr="006905CE">
        <w:rPr>
          <w:rFonts w:ascii="Calibri" w:cs="Calibri"/>
        </w:rPr>
        <w:t xml:space="preserve">, K. J., &amp; </w:t>
      </w:r>
      <w:proofErr w:type="spellStart"/>
      <w:r w:rsidRPr="006905CE">
        <w:rPr>
          <w:rFonts w:ascii="Calibri" w:cs="Calibri"/>
        </w:rPr>
        <w:t>Gehlbach</w:t>
      </w:r>
      <w:proofErr w:type="spellEnd"/>
      <w:r w:rsidRPr="006905CE">
        <w:rPr>
          <w:rFonts w:ascii="Calibri" w:cs="Calibri"/>
        </w:rPr>
        <w:t xml:space="preserve">, H. (2014). </w:t>
      </w:r>
      <w:proofErr w:type="spellStart"/>
      <w:r w:rsidRPr="006905CE">
        <w:rPr>
          <w:rFonts w:ascii="Calibri" w:cs="Calibri"/>
        </w:rPr>
        <w:t>Developing</w:t>
      </w:r>
      <w:proofErr w:type="spellEnd"/>
      <w:r w:rsidRPr="006905CE">
        <w:rPr>
          <w:rFonts w:ascii="Calibri" w:cs="Calibri"/>
        </w:rPr>
        <w:t xml:space="preserve"> questionnaires for </w:t>
      </w:r>
      <w:proofErr w:type="spellStart"/>
      <w:r w:rsidRPr="006905CE">
        <w:rPr>
          <w:rFonts w:ascii="Calibri" w:cs="Calibri"/>
        </w:rPr>
        <w:t>educational</w:t>
      </w:r>
      <w:proofErr w:type="spellEnd"/>
      <w:r w:rsidRPr="006905CE">
        <w:rPr>
          <w:rFonts w:ascii="Calibri" w:cs="Calibri"/>
        </w:rPr>
        <w:t xml:space="preserve"> </w:t>
      </w:r>
      <w:proofErr w:type="spellStart"/>
      <w:r w:rsidRPr="006905CE">
        <w:rPr>
          <w:rFonts w:ascii="Calibri" w:cs="Calibri"/>
        </w:rPr>
        <w:t>research</w:t>
      </w:r>
      <w:proofErr w:type="spellEnd"/>
      <w:r w:rsidRPr="006905CE">
        <w:rPr>
          <w:rFonts w:ascii="Calibri" w:cs="Calibri"/>
        </w:rPr>
        <w:t xml:space="preserve"> : AMEE Guide No. 87. </w:t>
      </w:r>
      <w:proofErr w:type="spellStart"/>
      <w:r w:rsidRPr="006905CE">
        <w:rPr>
          <w:rFonts w:ascii="Calibri" w:cs="Calibri"/>
          <w:i/>
          <w:iCs/>
        </w:rPr>
        <w:t>Medical</w:t>
      </w:r>
      <w:proofErr w:type="spellEnd"/>
      <w:r w:rsidRPr="006905CE">
        <w:rPr>
          <w:rFonts w:ascii="Calibri" w:cs="Calibri"/>
          <w:i/>
          <w:iCs/>
        </w:rPr>
        <w:t xml:space="preserve"> Teacher</w:t>
      </w:r>
      <w:r w:rsidRPr="006905CE">
        <w:rPr>
          <w:rFonts w:ascii="Calibri" w:cs="Calibri"/>
        </w:rPr>
        <w:t xml:space="preserve">, </w:t>
      </w:r>
      <w:r w:rsidRPr="006905CE">
        <w:rPr>
          <w:rFonts w:ascii="Calibri" w:cs="Calibri"/>
          <w:i/>
          <w:iCs/>
        </w:rPr>
        <w:t>36</w:t>
      </w:r>
      <w:r w:rsidRPr="006905CE">
        <w:rPr>
          <w:rFonts w:ascii="Calibri" w:cs="Calibri"/>
        </w:rPr>
        <w:t>(6), 463‑474. https://doi.org/10.3109/0142159X.2014.889814</w:t>
      </w:r>
    </w:p>
    <w:p w14:paraId="0BCDFA22" w14:textId="77777777" w:rsidR="006905CE" w:rsidRPr="006905CE" w:rsidRDefault="006905CE" w:rsidP="006905CE">
      <w:pPr>
        <w:pStyle w:val="Bibliographie"/>
        <w:rPr>
          <w:rFonts w:ascii="Calibri" w:cs="Calibri"/>
        </w:rPr>
      </w:pPr>
      <w:r w:rsidRPr="006905CE">
        <w:rPr>
          <w:rFonts w:ascii="Calibri" w:cs="Calibri"/>
        </w:rPr>
        <w:t>Berg, K. O., Wood-</w:t>
      </w:r>
      <w:proofErr w:type="spellStart"/>
      <w:r w:rsidRPr="006905CE">
        <w:rPr>
          <w:rFonts w:ascii="Calibri" w:cs="Calibri"/>
        </w:rPr>
        <w:t>Dauphinee</w:t>
      </w:r>
      <w:proofErr w:type="spellEnd"/>
      <w:r w:rsidRPr="006905CE">
        <w:rPr>
          <w:rFonts w:ascii="Calibri" w:cs="Calibri"/>
        </w:rPr>
        <w:t xml:space="preserve">, S. L., Williams, J. I., &amp; Maki, B. (1992). </w:t>
      </w:r>
      <w:proofErr w:type="spellStart"/>
      <w:r w:rsidRPr="006905CE">
        <w:rPr>
          <w:rFonts w:ascii="Calibri" w:cs="Calibri"/>
        </w:rPr>
        <w:t>Measuring</w:t>
      </w:r>
      <w:proofErr w:type="spellEnd"/>
      <w:r w:rsidRPr="006905CE">
        <w:rPr>
          <w:rFonts w:ascii="Calibri" w:cs="Calibri"/>
        </w:rPr>
        <w:t xml:space="preserve"> balance in the </w:t>
      </w:r>
      <w:proofErr w:type="spellStart"/>
      <w:r w:rsidRPr="006905CE">
        <w:rPr>
          <w:rFonts w:ascii="Calibri" w:cs="Calibri"/>
        </w:rPr>
        <w:t>elderly</w:t>
      </w:r>
      <w:proofErr w:type="spellEnd"/>
      <w:r w:rsidRPr="006905CE">
        <w:rPr>
          <w:rFonts w:ascii="Calibri" w:cs="Calibri"/>
        </w:rPr>
        <w:t xml:space="preserve"> : Validation of an instrument. </w:t>
      </w:r>
      <w:r w:rsidRPr="006905CE">
        <w:rPr>
          <w:rFonts w:ascii="Calibri" w:cs="Calibri"/>
          <w:i/>
          <w:iCs/>
        </w:rPr>
        <w:t xml:space="preserve">Canadian Journal of Public </w:t>
      </w:r>
      <w:proofErr w:type="spellStart"/>
      <w:r w:rsidRPr="006905CE">
        <w:rPr>
          <w:rFonts w:ascii="Calibri" w:cs="Calibri"/>
          <w:i/>
          <w:iCs/>
        </w:rPr>
        <w:t>Health</w:t>
      </w:r>
      <w:proofErr w:type="spellEnd"/>
      <w:r w:rsidRPr="006905CE">
        <w:rPr>
          <w:rFonts w:ascii="Calibri" w:cs="Calibri"/>
          <w:i/>
          <w:iCs/>
        </w:rPr>
        <w:t xml:space="preserve"> = Revue Canadienne De Sante Publique</w:t>
      </w:r>
      <w:r w:rsidRPr="006905CE">
        <w:rPr>
          <w:rFonts w:ascii="Calibri" w:cs="Calibri"/>
        </w:rPr>
        <w:t xml:space="preserve">, </w:t>
      </w:r>
      <w:r w:rsidRPr="006905CE">
        <w:rPr>
          <w:rFonts w:ascii="Calibri" w:cs="Calibri"/>
          <w:i/>
          <w:iCs/>
        </w:rPr>
        <w:t xml:space="preserve">83 </w:t>
      </w:r>
      <w:proofErr w:type="spellStart"/>
      <w:r w:rsidRPr="006905CE">
        <w:rPr>
          <w:rFonts w:ascii="Calibri" w:cs="Calibri"/>
          <w:i/>
          <w:iCs/>
        </w:rPr>
        <w:t>Suppl</w:t>
      </w:r>
      <w:proofErr w:type="spellEnd"/>
      <w:r w:rsidRPr="006905CE">
        <w:rPr>
          <w:rFonts w:ascii="Calibri" w:cs="Calibri"/>
          <w:i/>
          <w:iCs/>
        </w:rPr>
        <w:t xml:space="preserve"> 2</w:t>
      </w:r>
      <w:r w:rsidRPr="006905CE">
        <w:rPr>
          <w:rFonts w:ascii="Calibri" w:cs="Calibri"/>
        </w:rPr>
        <w:t>, S7-11.</w:t>
      </w:r>
    </w:p>
    <w:p w14:paraId="7801A2EB" w14:textId="77777777" w:rsidR="006905CE" w:rsidRPr="006905CE" w:rsidRDefault="006905CE" w:rsidP="006905CE">
      <w:pPr>
        <w:pStyle w:val="Bibliographie"/>
        <w:rPr>
          <w:rFonts w:ascii="Calibri" w:cs="Calibri"/>
        </w:rPr>
      </w:pPr>
      <w:r w:rsidRPr="006905CE">
        <w:rPr>
          <w:rFonts w:ascii="Calibri" w:cs="Calibri"/>
        </w:rPr>
        <w:t xml:space="preserve">Berthier, N. (2023). Chapitre 5. Le questionnaire. </w:t>
      </w:r>
      <w:r w:rsidRPr="006905CE">
        <w:rPr>
          <w:rFonts w:ascii="Calibri" w:cs="Calibri"/>
          <w:i/>
          <w:iCs/>
        </w:rPr>
        <w:t>Cursus</w:t>
      </w:r>
      <w:r w:rsidRPr="006905CE">
        <w:rPr>
          <w:rFonts w:ascii="Calibri" w:cs="Calibri"/>
        </w:rPr>
        <w:t xml:space="preserve">, </w:t>
      </w:r>
      <w:r w:rsidRPr="006905CE">
        <w:rPr>
          <w:rFonts w:ascii="Calibri" w:cs="Calibri"/>
          <w:i/>
          <w:iCs/>
        </w:rPr>
        <w:t>4</w:t>
      </w:r>
      <w:r w:rsidRPr="006905CE">
        <w:rPr>
          <w:rFonts w:ascii="Calibri" w:cs="Calibri"/>
        </w:rPr>
        <w:t>, 98</w:t>
      </w:r>
      <w:r w:rsidRPr="006905CE">
        <w:rPr>
          <w:rFonts w:ascii="Cambria Math" w:hAnsi="Cambria Math" w:cs="Cambria Math"/>
        </w:rPr>
        <w:t>‑</w:t>
      </w:r>
      <w:r w:rsidRPr="006905CE">
        <w:rPr>
          <w:rFonts w:ascii="Calibri" w:cs="Calibri"/>
        </w:rPr>
        <w:t>172.</w:t>
      </w:r>
    </w:p>
    <w:p w14:paraId="71D416E4" w14:textId="77777777" w:rsidR="006905CE" w:rsidRPr="006905CE" w:rsidRDefault="006905CE" w:rsidP="006905CE">
      <w:pPr>
        <w:pStyle w:val="Bibliographie"/>
        <w:rPr>
          <w:rFonts w:ascii="Calibri" w:cs="Calibri"/>
        </w:rPr>
      </w:pPr>
      <w:r w:rsidRPr="006905CE">
        <w:rPr>
          <w:rFonts w:ascii="Calibri" w:cs="Calibri"/>
        </w:rPr>
        <w:t xml:space="preserve">Beucher, J. (2021). </w:t>
      </w:r>
      <w:r w:rsidRPr="006905CE">
        <w:rPr>
          <w:rFonts w:ascii="Calibri" w:cs="Calibri"/>
          <w:i/>
          <w:iCs/>
        </w:rPr>
        <w:t xml:space="preserve">Rééducation proprioceptive de l’entorse latérale de cheville : Surface stable ou surface </w:t>
      </w:r>
      <w:proofErr w:type="gramStart"/>
      <w:r w:rsidRPr="006905CE">
        <w:rPr>
          <w:rFonts w:ascii="Calibri" w:cs="Calibri"/>
          <w:i/>
          <w:iCs/>
        </w:rPr>
        <w:t>instable?</w:t>
      </w:r>
      <w:proofErr w:type="gramEnd"/>
    </w:p>
    <w:p w14:paraId="707F1CE4" w14:textId="77777777" w:rsidR="006905CE" w:rsidRPr="006905CE" w:rsidRDefault="006905CE" w:rsidP="006905CE">
      <w:pPr>
        <w:pStyle w:val="Bibliographie"/>
        <w:rPr>
          <w:rFonts w:ascii="Calibri" w:cs="Calibri"/>
        </w:rPr>
      </w:pPr>
      <w:proofErr w:type="spellStart"/>
      <w:r w:rsidRPr="006905CE">
        <w:rPr>
          <w:rFonts w:ascii="Calibri" w:cs="Calibri"/>
        </w:rPr>
        <w:t>Bianquis</w:t>
      </w:r>
      <w:proofErr w:type="spellEnd"/>
      <w:r w:rsidRPr="006905CE">
        <w:rPr>
          <w:rFonts w:ascii="Calibri" w:cs="Calibri"/>
        </w:rPr>
        <w:t xml:space="preserve">, G. (2018). La protection juridique des données personnelles. </w:t>
      </w:r>
      <w:r w:rsidRPr="006905CE">
        <w:rPr>
          <w:rFonts w:ascii="Calibri" w:cs="Calibri"/>
          <w:i/>
          <w:iCs/>
        </w:rPr>
        <w:t>Regards croisés sur l’économie</w:t>
      </w:r>
      <w:r w:rsidRPr="006905CE">
        <w:rPr>
          <w:rFonts w:ascii="Calibri" w:cs="Calibri"/>
        </w:rPr>
        <w:t xml:space="preserve">, </w:t>
      </w:r>
      <w:r w:rsidRPr="006905CE">
        <w:rPr>
          <w:rFonts w:ascii="Calibri" w:cs="Calibri"/>
          <w:i/>
          <w:iCs/>
        </w:rPr>
        <w:t>23</w:t>
      </w:r>
      <w:r w:rsidRPr="006905CE">
        <w:rPr>
          <w:rFonts w:ascii="Calibri" w:cs="Calibri"/>
        </w:rPr>
        <w:t>(2), 156</w:t>
      </w:r>
      <w:r w:rsidRPr="006905CE">
        <w:rPr>
          <w:rFonts w:ascii="Cambria Math" w:hAnsi="Cambria Math" w:cs="Cambria Math"/>
        </w:rPr>
        <w:t>‑</w:t>
      </w:r>
      <w:r w:rsidRPr="006905CE">
        <w:rPr>
          <w:rFonts w:ascii="Calibri" w:cs="Calibri"/>
        </w:rPr>
        <w:t>160. https://doi.org/10.3917/rce.023.0156</w:t>
      </w:r>
    </w:p>
    <w:p w14:paraId="57843E9A" w14:textId="77777777" w:rsidR="006905CE" w:rsidRPr="006905CE" w:rsidRDefault="006905CE" w:rsidP="006905CE">
      <w:pPr>
        <w:pStyle w:val="Bibliographie"/>
        <w:rPr>
          <w:rFonts w:ascii="Calibri" w:cs="Calibri"/>
        </w:rPr>
      </w:pPr>
      <w:r w:rsidRPr="006905CE">
        <w:rPr>
          <w:rFonts w:ascii="Calibri" w:cs="Calibri"/>
          <w:i/>
          <w:iCs/>
        </w:rPr>
        <w:t>Bien vieillir</w:t>
      </w:r>
      <w:r w:rsidRPr="006905CE">
        <w:rPr>
          <w:rFonts w:ascii="Calibri" w:cs="Calibri"/>
        </w:rPr>
        <w:t>. (2024, septembre 24). https://www.santepubliquefrance.fr/la-sante-a-tout-age2/bien-vieillir</w:t>
      </w:r>
    </w:p>
    <w:p w14:paraId="076289D1" w14:textId="77777777" w:rsidR="006905CE" w:rsidRPr="006905CE" w:rsidRDefault="006905CE" w:rsidP="006905CE">
      <w:pPr>
        <w:pStyle w:val="Bibliographie"/>
        <w:rPr>
          <w:rFonts w:ascii="Calibri" w:cs="Calibri"/>
        </w:rPr>
      </w:pPr>
      <w:r w:rsidRPr="006905CE">
        <w:rPr>
          <w:rFonts w:ascii="Calibri" w:cs="Calibri"/>
        </w:rPr>
        <w:t xml:space="preserve">Blain, H., Bloch, F., Borel, L., </w:t>
      </w:r>
      <w:proofErr w:type="spellStart"/>
      <w:r w:rsidRPr="006905CE">
        <w:rPr>
          <w:rFonts w:ascii="Calibri" w:cs="Calibri"/>
        </w:rPr>
        <w:t>Dargent</w:t>
      </w:r>
      <w:proofErr w:type="spellEnd"/>
      <w:r w:rsidRPr="006905CE">
        <w:rPr>
          <w:rFonts w:ascii="Calibri" w:cs="Calibri"/>
        </w:rPr>
        <w:t xml:space="preserve">-Molina, P., Gauvain, J. B., Hewson, D., </w:t>
      </w:r>
      <w:proofErr w:type="spellStart"/>
      <w:r w:rsidRPr="006905CE">
        <w:rPr>
          <w:rFonts w:ascii="Calibri" w:cs="Calibri"/>
        </w:rPr>
        <w:t>Orève</w:t>
      </w:r>
      <w:proofErr w:type="spellEnd"/>
      <w:r w:rsidRPr="006905CE">
        <w:rPr>
          <w:rFonts w:ascii="Calibri" w:cs="Calibri"/>
        </w:rPr>
        <w:t xml:space="preserve">, M.-J., </w:t>
      </w:r>
      <w:proofErr w:type="spellStart"/>
      <w:r w:rsidRPr="006905CE">
        <w:rPr>
          <w:rFonts w:ascii="Calibri" w:cs="Calibri"/>
        </w:rPr>
        <w:t>Kemoun</w:t>
      </w:r>
      <w:proofErr w:type="spellEnd"/>
      <w:r w:rsidRPr="006905CE">
        <w:rPr>
          <w:rFonts w:ascii="Calibri" w:cs="Calibri"/>
        </w:rPr>
        <w:t xml:space="preserve">, G., </w:t>
      </w:r>
      <w:proofErr w:type="spellStart"/>
      <w:r w:rsidRPr="006905CE">
        <w:rPr>
          <w:rFonts w:ascii="Calibri" w:cs="Calibri"/>
        </w:rPr>
        <w:t>Mourey</w:t>
      </w:r>
      <w:proofErr w:type="spellEnd"/>
      <w:r w:rsidRPr="006905CE">
        <w:rPr>
          <w:rFonts w:ascii="Calibri" w:cs="Calibri"/>
        </w:rPr>
        <w:t xml:space="preserve">, F., Puisieux, F., Rolland, Y., &amp; Stephan, Y. (2015). </w:t>
      </w:r>
      <w:r w:rsidRPr="006905CE">
        <w:rPr>
          <w:rFonts w:ascii="Calibri" w:cs="Calibri"/>
          <w:i/>
          <w:iCs/>
        </w:rPr>
        <w:t>Activité physique et prévention des chutes chez les personnes âgées</w:t>
      </w:r>
      <w:r w:rsidRPr="006905CE">
        <w:rPr>
          <w:rFonts w:ascii="Calibri" w:cs="Calibri"/>
        </w:rPr>
        <w:t>.</w:t>
      </w:r>
    </w:p>
    <w:p w14:paraId="6A4DD1AB" w14:textId="77777777" w:rsidR="006905CE" w:rsidRPr="006905CE" w:rsidRDefault="006905CE" w:rsidP="006905CE">
      <w:pPr>
        <w:pStyle w:val="Bibliographie"/>
        <w:rPr>
          <w:rFonts w:ascii="Calibri" w:cs="Calibri"/>
        </w:rPr>
      </w:pPr>
      <w:r w:rsidRPr="006905CE">
        <w:rPr>
          <w:rFonts w:ascii="Calibri" w:cs="Calibri"/>
        </w:rPr>
        <w:t xml:space="preserve">Bonnet, C., Cambois, E., &amp; Fontaine, R. (2021). Dynamiques, enjeux démographiques et socioéconomiques du vieillissement dans les pays à longévité </w:t>
      </w:r>
      <w:proofErr w:type="gramStart"/>
      <w:r w:rsidRPr="006905CE">
        <w:rPr>
          <w:rFonts w:ascii="Calibri" w:cs="Calibri"/>
        </w:rPr>
        <w:t>élevée:</w:t>
      </w:r>
      <w:proofErr w:type="gramEnd"/>
      <w:r w:rsidRPr="006905CE">
        <w:rPr>
          <w:rFonts w:ascii="Calibri" w:cs="Calibri"/>
        </w:rPr>
        <w:t xml:space="preserve"> </w:t>
      </w:r>
      <w:r w:rsidRPr="006905CE">
        <w:rPr>
          <w:rFonts w:ascii="Calibri" w:cs="Calibri"/>
          <w:i/>
          <w:iCs/>
        </w:rPr>
        <w:t>Population</w:t>
      </w:r>
      <w:r w:rsidRPr="006905CE">
        <w:rPr>
          <w:rFonts w:ascii="Calibri" w:cs="Calibri"/>
        </w:rPr>
        <w:t xml:space="preserve">, </w:t>
      </w:r>
      <w:r w:rsidRPr="006905CE">
        <w:rPr>
          <w:rFonts w:ascii="Calibri" w:cs="Calibri"/>
          <w:i/>
          <w:iCs/>
        </w:rPr>
        <w:t>Vol. 76</w:t>
      </w:r>
      <w:r w:rsidRPr="006905CE">
        <w:rPr>
          <w:rFonts w:ascii="Calibri" w:cs="Calibri"/>
        </w:rPr>
        <w:t>(2), 225</w:t>
      </w:r>
      <w:r w:rsidRPr="006905CE">
        <w:rPr>
          <w:rFonts w:ascii="Cambria Math" w:hAnsi="Cambria Math" w:cs="Cambria Math"/>
        </w:rPr>
        <w:t>‑</w:t>
      </w:r>
      <w:r w:rsidRPr="006905CE">
        <w:rPr>
          <w:rFonts w:ascii="Calibri" w:cs="Calibri"/>
        </w:rPr>
        <w:t>325. https://doi.org/10.3917/popu.2102.0225</w:t>
      </w:r>
    </w:p>
    <w:p w14:paraId="4671768C" w14:textId="77777777" w:rsidR="006905CE" w:rsidRPr="006905CE" w:rsidRDefault="006905CE" w:rsidP="006905CE">
      <w:pPr>
        <w:pStyle w:val="Bibliographie"/>
        <w:rPr>
          <w:rFonts w:ascii="Calibri" w:cs="Calibri"/>
        </w:rPr>
      </w:pPr>
      <w:proofErr w:type="spellStart"/>
      <w:r w:rsidRPr="006905CE">
        <w:rPr>
          <w:rFonts w:ascii="Calibri" w:cs="Calibri"/>
        </w:rPr>
        <w:lastRenderedPageBreak/>
        <w:t>Boulan</w:t>
      </w:r>
      <w:proofErr w:type="spellEnd"/>
      <w:r w:rsidRPr="006905CE">
        <w:rPr>
          <w:rFonts w:ascii="Calibri" w:cs="Calibri"/>
        </w:rPr>
        <w:t xml:space="preserve">, H. (2015). Chapitre 4. Les types de questions. </w:t>
      </w:r>
      <w:r w:rsidRPr="006905CE">
        <w:rPr>
          <w:rFonts w:ascii="Calibri" w:cs="Calibri"/>
          <w:i/>
          <w:iCs/>
        </w:rPr>
        <w:t>Fonctions de l’entreprise</w:t>
      </w:r>
      <w:r w:rsidRPr="006905CE">
        <w:rPr>
          <w:rFonts w:ascii="Calibri" w:cs="Calibri"/>
        </w:rPr>
        <w:t>, 91</w:t>
      </w:r>
      <w:r w:rsidRPr="006905CE">
        <w:rPr>
          <w:rFonts w:ascii="Cambria Math" w:hAnsi="Cambria Math" w:cs="Cambria Math"/>
        </w:rPr>
        <w:t>‑</w:t>
      </w:r>
      <w:r w:rsidRPr="006905CE">
        <w:rPr>
          <w:rFonts w:ascii="Calibri" w:cs="Calibri"/>
        </w:rPr>
        <w:t>171.</w:t>
      </w:r>
    </w:p>
    <w:p w14:paraId="09DDA225" w14:textId="77777777" w:rsidR="006905CE" w:rsidRPr="006905CE" w:rsidRDefault="006905CE" w:rsidP="006905CE">
      <w:pPr>
        <w:pStyle w:val="Bibliographie"/>
        <w:rPr>
          <w:rFonts w:ascii="Calibri" w:cs="Calibri"/>
        </w:rPr>
      </w:pPr>
      <w:r w:rsidRPr="006905CE">
        <w:rPr>
          <w:rFonts w:ascii="Calibri" w:cs="Calibri"/>
        </w:rPr>
        <w:t xml:space="preserve">Buisson, C., &amp; </w:t>
      </w:r>
      <w:proofErr w:type="spellStart"/>
      <w:r w:rsidRPr="006905CE">
        <w:rPr>
          <w:rFonts w:ascii="Calibri" w:cs="Calibri"/>
        </w:rPr>
        <w:t>Boussuge</w:t>
      </w:r>
      <w:proofErr w:type="spellEnd"/>
      <w:r w:rsidRPr="006905CE">
        <w:rPr>
          <w:rFonts w:ascii="Calibri" w:cs="Calibri"/>
        </w:rPr>
        <w:t xml:space="preserve">, A. (2023). Chute et </w:t>
      </w:r>
      <w:proofErr w:type="spellStart"/>
      <w:proofErr w:type="gramStart"/>
      <w:r w:rsidRPr="006905CE">
        <w:rPr>
          <w:rFonts w:ascii="Calibri" w:cs="Calibri"/>
        </w:rPr>
        <w:t>conséquences:Processus</w:t>
      </w:r>
      <w:proofErr w:type="spellEnd"/>
      <w:proofErr w:type="gramEnd"/>
      <w:r w:rsidRPr="006905CE">
        <w:rPr>
          <w:rFonts w:ascii="Calibri" w:cs="Calibri"/>
        </w:rPr>
        <w:t xml:space="preserve"> traumatiques. </w:t>
      </w:r>
      <w:r w:rsidRPr="006905CE">
        <w:rPr>
          <w:rFonts w:ascii="Calibri" w:cs="Calibri"/>
          <w:i/>
          <w:iCs/>
        </w:rPr>
        <w:t>Hors collection Infirmier Vuibert</w:t>
      </w:r>
      <w:r w:rsidRPr="006905CE">
        <w:rPr>
          <w:rFonts w:ascii="Calibri" w:cs="Calibri"/>
        </w:rPr>
        <w:t>, 72</w:t>
      </w:r>
      <w:r w:rsidRPr="006905CE">
        <w:rPr>
          <w:rFonts w:ascii="Cambria Math" w:hAnsi="Cambria Math" w:cs="Cambria Math"/>
        </w:rPr>
        <w:t>‑</w:t>
      </w:r>
      <w:r w:rsidRPr="006905CE">
        <w:rPr>
          <w:rFonts w:ascii="Calibri" w:cs="Calibri"/>
        </w:rPr>
        <w:t>74.</w:t>
      </w:r>
    </w:p>
    <w:p w14:paraId="16A20B48" w14:textId="77777777" w:rsidR="006905CE" w:rsidRPr="006905CE" w:rsidRDefault="006905CE" w:rsidP="006905CE">
      <w:pPr>
        <w:pStyle w:val="Bibliographie"/>
        <w:rPr>
          <w:rFonts w:ascii="Calibri" w:cs="Calibri"/>
        </w:rPr>
      </w:pPr>
      <w:r w:rsidRPr="006905CE">
        <w:rPr>
          <w:rFonts w:ascii="Calibri" w:cs="Calibri"/>
        </w:rPr>
        <w:t xml:space="preserve">Charan. (2013). </w:t>
      </w:r>
      <w:r w:rsidRPr="006905CE">
        <w:rPr>
          <w:rFonts w:ascii="Calibri" w:cs="Calibri"/>
          <w:i/>
          <w:iCs/>
        </w:rPr>
        <w:t xml:space="preserve">How to </w:t>
      </w:r>
      <w:proofErr w:type="spellStart"/>
      <w:r w:rsidRPr="006905CE">
        <w:rPr>
          <w:rFonts w:ascii="Calibri" w:cs="Calibri"/>
          <w:i/>
          <w:iCs/>
        </w:rPr>
        <w:t>Calculate</w:t>
      </w:r>
      <w:proofErr w:type="spellEnd"/>
      <w:r w:rsidRPr="006905CE">
        <w:rPr>
          <w:rFonts w:ascii="Calibri" w:cs="Calibri"/>
          <w:i/>
          <w:iCs/>
        </w:rPr>
        <w:t xml:space="preserve"> </w:t>
      </w:r>
      <w:proofErr w:type="spellStart"/>
      <w:r w:rsidRPr="006905CE">
        <w:rPr>
          <w:rFonts w:ascii="Calibri" w:cs="Calibri"/>
          <w:i/>
          <w:iCs/>
        </w:rPr>
        <w:t>Sample</w:t>
      </w:r>
      <w:proofErr w:type="spellEnd"/>
      <w:r w:rsidRPr="006905CE">
        <w:rPr>
          <w:rFonts w:ascii="Calibri" w:cs="Calibri"/>
          <w:i/>
          <w:iCs/>
        </w:rPr>
        <w:t xml:space="preserve"> Size for </w:t>
      </w:r>
      <w:proofErr w:type="spellStart"/>
      <w:r w:rsidRPr="006905CE">
        <w:rPr>
          <w:rFonts w:ascii="Calibri" w:cs="Calibri"/>
          <w:i/>
          <w:iCs/>
        </w:rPr>
        <w:t>Different</w:t>
      </w:r>
      <w:proofErr w:type="spellEnd"/>
      <w:r w:rsidRPr="006905CE">
        <w:rPr>
          <w:rFonts w:ascii="Calibri" w:cs="Calibri"/>
          <w:i/>
          <w:iCs/>
        </w:rPr>
        <w:t xml:space="preserve"> </w:t>
      </w:r>
      <w:proofErr w:type="spellStart"/>
      <w:r w:rsidRPr="006905CE">
        <w:rPr>
          <w:rFonts w:ascii="Calibri" w:cs="Calibri"/>
          <w:i/>
          <w:iCs/>
        </w:rPr>
        <w:t>Study</w:t>
      </w:r>
      <w:proofErr w:type="spellEnd"/>
      <w:r w:rsidRPr="006905CE">
        <w:rPr>
          <w:rFonts w:ascii="Calibri" w:cs="Calibri"/>
          <w:i/>
          <w:iCs/>
        </w:rPr>
        <w:t xml:space="preserve"> Designs in </w:t>
      </w:r>
      <w:proofErr w:type="spellStart"/>
      <w:r w:rsidRPr="006905CE">
        <w:rPr>
          <w:rFonts w:ascii="Calibri" w:cs="Calibri"/>
          <w:i/>
          <w:iCs/>
        </w:rPr>
        <w:t>Medical</w:t>
      </w:r>
      <w:proofErr w:type="spellEnd"/>
      <w:r w:rsidRPr="006905CE">
        <w:rPr>
          <w:rFonts w:ascii="Calibri" w:cs="Calibri"/>
          <w:i/>
          <w:iCs/>
        </w:rPr>
        <w:t xml:space="preserve"> </w:t>
      </w:r>
      <w:proofErr w:type="spellStart"/>
      <w:proofErr w:type="gramStart"/>
      <w:r w:rsidRPr="006905CE">
        <w:rPr>
          <w:rFonts w:ascii="Calibri" w:cs="Calibri"/>
          <w:i/>
          <w:iCs/>
        </w:rPr>
        <w:t>Research</w:t>
      </w:r>
      <w:proofErr w:type="spellEnd"/>
      <w:r w:rsidRPr="006905CE">
        <w:rPr>
          <w:rFonts w:ascii="Calibri" w:cs="Calibri"/>
          <w:i/>
          <w:iCs/>
        </w:rPr>
        <w:t>?</w:t>
      </w:r>
      <w:proofErr w:type="gramEnd"/>
    </w:p>
    <w:p w14:paraId="61979894" w14:textId="77777777" w:rsidR="006905CE" w:rsidRPr="006905CE" w:rsidRDefault="006905CE" w:rsidP="006905CE">
      <w:pPr>
        <w:pStyle w:val="Bibliographie"/>
        <w:rPr>
          <w:rFonts w:ascii="Calibri" w:cs="Calibri"/>
        </w:rPr>
      </w:pPr>
      <w:r w:rsidRPr="006905CE">
        <w:rPr>
          <w:rFonts w:ascii="Calibri" w:cs="Calibri"/>
        </w:rPr>
        <w:t xml:space="preserve">Choi, B. C. K., &amp; Pak, A. W. P. (2004). A </w:t>
      </w:r>
      <w:proofErr w:type="spellStart"/>
      <w:r w:rsidRPr="006905CE">
        <w:rPr>
          <w:rFonts w:ascii="Calibri" w:cs="Calibri"/>
        </w:rPr>
        <w:t>Catalog</w:t>
      </w:r>
      <w:proofErr w:type="spellEnd"/>
      <w:r w:rsidRPr="006905CE">
        <w:rPr>
          <w:rFonts w:ascii="Calibri" w:cs="Calibri"/>
        </w:rPr>
        <w:t xml:space="preserve"> of </w:t>
      </w:r>
      <w:proofErr w:type="spellStart"/>
      <w:r w:rsidRPr="006905CE">
        <w:rPr>
          <w:rFonts w:ascii="Calibri" w:cs="Calibri"/>
        </w:rPr>
        <w:t>Biases</w:t>
      </w:r>
      <w:proofErr w:type="spellEnd"/>
      <w:r w:rsidRPr="006905CE">
        <w:rPr>
          <w:rFonts w:ascii="Calibri" w:cs="Calibri"/>
        </w:rPr>
        <w:t xml:space="preserve"> in Questionnaires. </w:t>
      </w:r>
      <w:proofErr w:type="spellStart"/>
      <w:r w:rsidRPr="006905CE">
        <w:rPr>
          <w:rFonts w:ascii="Calibri" w:cs="Calibri"/>
          <w:i/>
          <w:iCs/>
        </w:rPr>
        <w:t>Preventing</w:t>
      </w:r>
      <w:proofErr w:type="spellEnd"/>
      <w:r w:rsidRPr="006905CE">
        <w:rPr>
          <w:rFonts w:ascii="Calibri" w:cs="Calibri"/>
          <w:i/>
          <w:iCs/>
        </w:rPr>
        <w:t xml:space="preserve"> </w:t>
      </w:r>
      <w:proofErr w:type="spellStart"/>
      <w:r w:rsidRPr="006905CE">
        <w:rPr>
          <w:rFonts w:ascii="Calibri" w:cs="Calibri"/>
          <w:i/>
          <w:iCs/>
        </w:rPr>
        <w:t>Chronic</w:t>
      </w:r>
      <w:proofErr w:type="spellEnd"/>
      <w:r w:rsidRPr="006905CE">
        <w:rPr>
          <w:rFonts w:ascii="Calibri" w:cs="Calibri"/>
          <w:i/>
          <w:iCs/>
        </w:rPr>
        <w:t xml:space="preserve"> </w:t>
      </w:r>
      <w:proofErr w:type="spellStart"/>
      <w:r w:rsidRPr="006905CE">
        <w:rPr>
          <w:rFonts w:ascii="Calibri" w:cs="Calibri"/>
          <w:i/>
          <w:iCs/>
        </w:rPr>
        <w:t>Disease</w:t>
      </w:r>
      <w:proofErr w:type="spellEnd"/>
      <w:r w:rsidRPr="006905CE">
        <w:rPr>
          <w:rFonts w:ascii="Calibri" w:cs="Calibri"/>
        </w:rPr>
        <w:t xml:space="preserve">, </w:t>
      </w:r>
      <w:r w:rsidRPr="006905CE">
        <w:rPr>
          <w:rFonts w:ascii="Calibri" w:cs="Calibri"/>
          <w:i/>
          <w:iCs/>
        </w:rPr>
        <w:t>2</w:t>
      </w:r>
      <w:r w:rsidRPr="006905CE">
        <w:rPr>
          <w:rFonts w:ascii="Calibri" w:cs="Calibri"/>
        </w:rPr>
        <w:t>(1), A13.</w:t>
      </w:r>
    </w:p>
    <w:p w14:paraId="0FC5544A" w14:textId="77777777" w:rsidR="006905CE" w:rsidRPr="006905CE" w:rsidRDefault="006905CE" w:rsidP="006905CE">
      <w:pPr>
        <w:pStyle w:val="Bibliographie"/>
        <w:rPr>
          <w:rFonts w:ascii="Calibri" w:cs="Calibri"/>
        </w:rPr>
      </w:pPr>
      <w:r w:rsidRPr="006905CE">
        <w:rPr>
          <w:rFonts w:ascii="Calibri" w:cs="Calibri"/>
        </w:rPr>
        <w:t xml:space="preserve">Cissé, B., Peres-Bouchet, K., &amp; Duclos, N. (2023). État des lieux des pratiques des kinésithérapeutes en matière de prévention des chutes du sujet âgé de plus de 65 ans et évaluation de leur appétence à intégrer un réseau de santé dédié à la prévention : Enquête réalisée auprès des praticiens de la ville de Pessac. </w:t>
      </w:r>
      <w:r w:rsidRPr="006905CE">
        <w:rPr>
          <w:rFonts w:ascii="Calibri" w:cs="Calibri"/>
          <w:i/>
          <w:iCs/>
        </w:rPr>
        <w:t>Kinésithérapie, la Revue, Journées francophones de Kinésithérapie 2023</w:t>
      </w:r>
      <w:r w:rsidRPr="006905CE">
        <w:rPr>
          <w:rFonts w:ascii="Calibri" w:cs="Calibri"/>
        </w:rPr>
        <w:t xml:space="preserve">, </w:t>
      </w:r>
      <w:r w:rsidRPr="006905CE">
        <w:rPr>
          <w:rFonts w:ascii="Calibri" w:cs="Calibri"/>
          <w:i/>
          <w:iCs/>
        </w:rPr>
        <w:t>23</w:t>
      </w:r>
      <w:r w:rsidRPr="006905CE">
        <w:rPr>
          <w:rFonts w:ascii="Calibri" w:cs="Calibri"/>
        </w:rPr>
        <w:t>(255), 7. https://doi.org/10.1016/j.kine.2022.12.011</w:t>
      </w:r>
    </w:p>
    <w:p w14:paraId="203F4B4A" w14:textId="77777777" w:rsidR="006905CE" w:rsidRPr="006905CE" w:rsidRDefault="006905CE" w:rsidP="006905CE">
      <w:pPr>
        <w:pStyle w:val="Bibliographie"/>
        <w:rPr>
          <w:rFonts w:ascii="Calibri" w:cs="Calibri"/>
        </w:rPr>
      </w:pPr>
      <w:r w:rsidRPr="006905CE">
        <w:rPr>
          <w:rFonts w:ascii="Calibri" w:cs="Calibri"/>
        </w:rPr>
        <w:t xml:space="preserve">CNIL. (2018). </w:t>
      </w:r>
      <w:r w:rsidRPr="006905CE">
        <w:rPr>
          <w:rFonts w:ascii="Calibri" w:cs="Calibri"/>
          <w:i/>
          <w:iCs/>
        </w:rPr>
        <w:t>Délibération n° 2018-155 du 3 mai 2018 portant homologation de la méthodologie de référence relative aux traitements de données à caractère personnel mis en œuvre dans le cadre des recherches n’impliquant pas la personne humaine, des études et évaluations dans le domaine de la santé (MR-</w:t>
      </w:r>
      <w:proofErr w:type="gramStart"/>
      <w:r w:rsidRPr="006905CE">
        <w:rPr>
          <w:rFonts w:ascii="Calibri" w:cs="Calibri"/>
          <w:i/>
          <w:iCs/>
        </w:rPr>
        <w:t>004)—</w:t>
      </w:r>
      <w:proofErr w:type="gramEnd"/>
      <w:r w:rsidRPr="006905CE">
        <w:rPr>
          <w:rFonts w:ascii="Calibri" w:cs="Calibri"/>
          <w:i/>
          <w:iCs/>
        </w:rPr>
        <w:t>Légifrance</w:t>
      </w:r>
      <w:r w:rsidRPr="006905CE">
        <w:rPr>
          <w:rFonts w:ascii="Calibri" w:cs="Calibri"/>
        </w:rPr>
        <w:t>. https://www.legifrance.gouv.fr/jorf/id/JORFTEXT000037187498</w:t>
      </w:r>
    </w:p>
    <w:p w14:paraId="37381666" w14:textId="77777777" w:rsidR="006905CE" w:rsidRPr="006905CE" w:rsidRDefault="006905CE" w:rsidP="006905CE">
      <w:pPr>
        <w:pStyle w:val="Bibliographie"/>
        <w:rPr>
          <w:rFonts w:ascii="Calibri" w:cs="Calibri"/>
        </w:rPr>
      </w:pPr>
      <w:r w:rsidRPr="006905CE">
        <w:rPr>
          <w:rFonts w:ascii="Calibri" w:cs="Calibri"/>
        </w:rPr>
        <w:t xml:space="preserve">CNIL. (2020). </w:t>
      </w:r>
      <w:r w:rsidRPr="006905CE">
        <w:rPr>
          <w:rFonts w:ascii="Calibri" w:cs="Calibri"/>
          <w:i/>
          <w:iCs/>
        </w:rPr>
        <w:t>L’anonymisation de données personnelles</w:t>
      </w:r>
      <w:r w:rsidRPr="006905CE">
        <w:rPr>
          <w:rFonts w:ascii="Calibri" w:cs="Calibri"/>
        </w:rPr>
        <w:t>. https://www.cnil.fr/fr/technologies/lanonymisation-de-donnees-personnelles</w:t>
      </w:r>
    </w:p>
    <w:p w14:paraId="7DC00996" w14:textId="77777777" w:rsidR="006905CE" w:rsidRPr="006905CE" w:rsidRDefault="006905CE" w:rsidP="006905CE">
      <w:pPr>
        <w:pStyle w:val="Bibliographie"/>
        <w:rPr>
          <w:rFonts w:ascii="Calibri" w:cs="Calibri"/>
        </w:rPr>
      </w:pPr>
      <w:proofErr w:type="spellStart"/>
      <w:r w:rsidRPr="006905CE">
        <w:rPr>
          <w:rFonts w:ascii="Calibri" w:cs="Calibri"/>
        </w:rPr>
        <w:t>Corgne</w:t>
      </w:r>
      <w:proofErr w:type="spellEnd"/>
      <w:r w:rsidRPr="006905CE">
        <w:rPr>
          <w:rFonts w:ascii="Calibri" w:cs="Calibri"/>
        </w:rPr>
        <w:t xml:space="preserve">, S. L., Olivier, M., &amp; </w:t>
      </w:r>
      <w:proofErr w:type="spellStart"/>
      <w:r w:rsidRPr="006905CE">
        <w:rPr>
          <w:rFonts w:ascii="Calibri" w:cs="Calibri"/>
        </w:rPr>
        <w:t>Palat</w:t>
      </w:r>
      <w:proofErr w:type="spellEnd"/>
      <w:r w:rsidRPr="006905CE">
        <w:rPr>
          <w:rFonts w:ascii="Calibri" w:cs="Calibri"/>
        </w:rPr>
        <w:t xml:space="preserve">, B. (2019). </w:t>
      </w:r>
      <w:r w:rsidRPr="006905CE">
        <w:rPr>
          <w:rFonts w:ascii="Calibri" w:cs="Calibri"/>
          <w:i/>
          <w:iCs/>
        </w:rPr>
        <w:t xml:space="preserve">Quelles sont </w:t>
      </w:r>
      <w:proofErr w:type="gramStart"/>
      <w:r w:rsidRPr="006905CE">
        <w:rPr>
          <w:rFonts w:ascii="Calibri" w:cs="Calibri"/>
          <w:i/>
          <w:iCs/>
        </w:rPr>
        <w:t>les meilleurs méthodes</w:t>
      </w:r>
      <w:proofErr w:type="gramEnd"/>
      <w:r w:rsidRPr="006905CE">
        <w:rPr>
          <w:rFonts w:ascii="Calibri" w:cs="Calibri"/>
          <w:i/>
          <w:iCs/>
        </w:rPr>
        <w:t xml:space="preserve"> de pré-test d’un questionnaire et pourquoi ce sont les entretiens </w:t>
      </w:r>
      <w:proofErr w:type="gramStart"/>
      <w:r w:rsidRPr="006905CE">
        <w:rPr>
          <w:rFonts w:ascii="Calibri" w:cs="Calibri"/>
          <w:i/>
          <w:iCs/>
        </w:rPr>
        <w:t>cognitifs?</w:t>
      </w:r>
      <w:proofErr w:type="gramEnd"/>
    </w:p>
    <w:p w14:paraId="4B3CCB15" w14:textId="77777777" w:rsidR="006905CE" w:rsidRPr="006905CE" w:rsidRDefault="006905CE" w:rsidP="006905CE">
      <w:pPr>
        <w:pStyle w:val="Bibliographie"/>
        <w:rPr>
          <w:rFonts w:ascii="Calibri" w:cs="Calibri"/>
        </w:rPr>
      </w:pPr>
      <w:r w:rsidRPr="006905CE">
        <w:rPr>
          <w:rFonts w:ascii="Calibri" w:cs="Calibri"/>
        </w:rPr>
        <w:t xml:space="preserve">Coron, C. (2020). Outil 11. Le questionnaire : Les biais. </w:t>
      </w:r>
      <w:proofErr w:type="spellStart"/>
      <w:r w:rsidRPr="006905CE">
        <w:rPr>
          <w:rFonts w:ascii="Calibri" w:cs="Calibri"/>
          <w:i/>
          <w:iCs/>
        </w:rPr>
        <w:t>BàO</w:t>
      </w:r>
      <w:proofErr w:type="spellEnd"/>
      <w:r w:rsidRPr="006905CE">
        <w:rPr>
          <w:rFonts w:ascii="Calibri" w:cs="Calibri"/>
          <w:i/>
          <w:iCs/>
        </w:rPr>
        <w:t xml:space="preserve"> La Boîte à Outils</w:t>
      </w:r>
      <w:r w:rsidRPr="006905CE">
        <w:rPr>
          <w:rFonts w:ascii="Calibri" w:cs="Calibri"/>
        </w:rPr>
        <w:t>, 38</w:t>
      </w:r>
      <w:r w:rsidRPr="006905CE">
        <w:rPr>
          <w:rFonts w:ascii="Cambria Math" w:hAnsi="Cambria Math" w:cs="Cambria Math"/>
        </w:rPr>
        <w:t>‑</w:t>
      </w:r>
      <w:r w:rsidRPr="006905CE">
        <w:rPr>
          <w:rFonts w:ascii="Calibri" w:cs="Calibri"/>
        </w:rPr>
        <w:t>41.</w:t>
      </w:r>
    </w:p>
    <w:p w14:paraId="7647CDC0" w14:textId="77777777" w:rsidR="006905CE" w:rsidRPr="006905CE" w:rsidRDefault="006905CE" w:rsidP="006905CE">
      <w:pPr>
        <w:pStyle w:val="Bibliographie"/>
        <w:rPr>
          <w:rFonts w:ascii="Calibri" w:cs="Calibri"/>
        </w:rPr>
      </w:pPr>
      <w:r w:rsidRPr="006905CE">
        <w:rPr>
          <w:rFonts w:ascii="Calibri" w:cs="Calibri"/>
        </w:rPr>
        <w:t xml:space="preserve">Coste, J., </w:t>
      </w:r>
      <w:proofErr w:type="spellStart"/>
      <w:r w:rsidRPr="006905CE">
        <w:rPr>
          <w:rFonts w:ascii="Calibri" w:cs="Calibri"/>
        </w:rPr>
        <w:t>Valderas</w:t>
      </w:r>
      <w:proofErr w:type="spellEnd"/>
      <w:r w:rsidRPr="006905CE">
        <w:rPr>
          <w:rFonts w:ascii="Calibri" w:cs="Calibri"/>
        </w:rPr>
        <w:t xml:space="preserve">, J. M., &amp; </w:t>
      </w:r>
      <w:proofErr w:type="spellStart"/>
      <w:r w:rsidRPr="006905CE">
        <w:rPr>
          <w:rFonts w:ascii="Calibri" w:cs="Calibri"/>
        </w:rPr>
        <w:t>Carcaillon-Bentata</w:t>
      </w:r>
      <w:proofErr w:type="spellEnd"/>
      <w:r w:rsidRPr="006905CE">
        <w:rPr>
          <w:rFonts w:ascii="Calibri" w:cs="Calibri"/>
        </w:rPr>
        <w:t xml:space="preserve">, L. (2022). The </w:t>
      </w:r>
      <w:proofErr w:type="spellStart"/>
      <w:r w:rsidRPr="006905CE">
        <w:rPr>
          <w:rFonts w:ascii="Calibri" w:cs="Calibri"/>
        </w:rPr>
        <w:t>epidemiology</w:t>
      </w:r>
      <w:proofErr w:type="spellEnd"/>
      <w:r w:rsidRPr="006905CE">
        <w:rPr>
          <w:rFonts w:ascii="Calibri" w:cs="Calibri"/>
        </w:rPr>
        <w:t xml:space="preserve"> of </w:t>
      </w:r>
      <w:proofErr w:type="spellStart"/>
      <w:r w:rsidRPr="006905CE">
        <w:rPr>
          <w:rFonts w:ascii="Calibri" w:cs="Calibri"/>
        </w:rPr>
        <w:t>multimorbidity</w:t>
      </w:r>
      <w:proofErr w:type="spellEnd"/>
      <w:r w:rsidRPr="006905CE">
        <w:rPr>
          <w:rFonts w:ascii="Calibri" w:cs="Calibri"/>
        </w:rPr>
        <w:t xml:space="preserve"> in France : Variations by </w:t>
      </w:r>
      <w:proofErr w:type="spellStart"/>
      <w:r w:rsidRPr="006905CE">
        <w:rPr>
          <w:rFonts w:ascii="Calibri" w:cs="Calibri"/>
        </w:rPr>
        <w:t>gender</w:t>
      </w:r>
      <w:proofErr w:type="spellEnd"/>
      <w:r w:rsidRPr="006905CE">
        <w:rPr>
          <w:rFonts w:ascii="Calibri" w:cs="Calibri"/>
        </w:rPr>
        <w:t xml:space="preserve">, </w:t>
      </w:r>
      <w:proofErr w:type="spellStart"/>
      <w:r w:rsidRPr="006905CE">
        <w:rPr>
          <w:rFonts w:ascii="Calibri" w:cs="Calibri"/>
        </w:rPr>
        <w:t>age</w:t>
      </w:r>
      <w:proofErr w:type="spellEnd"/>
      <w:r w:rsidRPr="006905CE">
        <w:rPr>
          <w:rFonts w:ascii="Calibri" w:cs="Calibri"/>
        </w:rPr>
        <w:t xml:space="preserve"> and </w:t>
      </w:r>
      <w:proofErr w:type="spellStart"/>
      <w:r w:rsidRPr="006905CE">
        <w:rPr>
          <w:rFonts w:ascii="Calibri" w:cs="Calibri"/>
        </w:rPr>
        <w:t>socioeconomic</w:t>
      </w:r>
      <w:proofErr w:type="spellEnd"/>
      <w:r w:rsidRPr="006905CE">
        <w:rPr>
          <w:rFonts w:ascii="Calibri" w:cs="Calibri"/>
        </w:rPr>
        <w:t xml:space="preserve"> </w:t>
      </w:r>
      <w:proofErr w:type="spellStart"/>
      <w:r w:rsidRPr="006905CE">
        <w:rPr>
          <w:rFonts w:ascii="Calibri" w:cs="Calibri"/>
        </w:rPr>
        <w:t>factors</w:t>
      </w:r>
      <w:proofErr w:type="spellEnd"/>
      <w:r w:rsidRPr="006905CE">
        <w:rPr>
          <w:rFonts w:ascii="Calibri" w:cs="Calibri"/>
        </w:rPr>
        <w:t xml:space="preserve">, and implications for surveillance and </w:t>
      </w:r>
      <w:proofErr w:type="spellStart"/>
      <w:r w:rsidRPr="006905CE">
        <w:rPr>
          <w:rFonts w:ascii="Calibri" w:cs="Calibri"/>
        </w:rPr>
        <w:t>prevention</w:t>
      </w:r>
      <w:proofErr w:type="spellEnd"/>
      <w:r w:rsidRPr="006905CE">
        <w:rPr>
          <w:rFonts w:ascii="Calibri" w:cs="Calibri"/>
        </w:rPr>
        <w:t xml:space="preserve">. </w:t>
      </w:r>
      <w:proofErr w:type="spellStart"/>
      <w:r w:rsidRPr="006905CE">
        <w:rPr>
          <w:rFonts w:ascii="Calibri" w:cs="Calibri"/>
          <w:i/>
          <w:iCs/>
        </w:rPr>
        <w:t>PLoS</w:t>
      </w:r>
      <w:proofErr w:type="spellEnd"/>
      <w:r w:rsidRPr="006905CE">
        <w:rPr>
          <w:rFonts w:ascii="Calibri" w:cs="Calibri"/>
          <w:i/>
          <w:iCs/>
        </w:rPr>
        <w:t xml:space="preserve"> ONE</w:t>
      </w:r>
      <w:r w:rsidRPr="006905CE">
        <w:rPr>
          <w:rFonts w:ascii="Calibri" w:cs="Calibri"/>
        </w:rPr>
        <w:t xml:space="preserve">, </w:t>
      </w:r>
      <w:r w:rsidRPr="006905CE">
        <w:rPr>
          <w:rFonts w:ascii="Calibri" w:cs="Calibri"/>
          <w:i/>
          <w:iCs/>
        </w:rPr>
        <w:t>17</w:t>
      </w:r>
      <w:r w:rsidRPr="006905CE">
        <w:rPr>
          <w:rFonts w:ascii="Calibri" w:cs="Calibri"/>
        </w:rPr>
        <w:t>(4), e0265842. https://doi.org/10.1371/journal.pone.0265842</w:t>
      </w:r>
    </w:p>
    <w:p w14:paraId="3BAD38E2" w14:textId="77777777" w:rsidR="006905CE" w:rsidRPr="006905CE" w:rsidRDefault="006905CE" w:rsidP="006905CE">
      <w:pPr>
        <w:pStyle w:val="Bibliographie"/>
        <w:rPr>
          <w:rFonts w:ascii="Calibri" w:cs="Calibri"/>
        </w:rPr>
      </w:pPr>
      <w:r w:rsidRPr="006905CE">
        <w:rPr>
          <w:rFonts w:ascii="Calibri" w:cs="Calibri"/>
        </w:rPr>
        <w:lastRenderedPageBreak/>
        <w:t>Cruz-</w:t>
      </w:r>
      <w:proofErr w:type="spellStart"/>
      <w:r w:rsidRPr="006905CE">
        <w:rPr>
          <w:rFonts w:ascii="Calibri" w:cs="Calibri"/>
        </w:rPr>
        <w:t>Jentoft</w:t>
      </w:r>
      <w:proofErr w:type="spellEnd"/>
      <w:r w:rsidRPr="006905CE">
        <w:rPr>
          <w:rFonts w:ascii="Calibri" w:cs="Calibri"/>
        </w:rPr>
        <w:t xml:space="preserve">, A. J., </w:t>
      </w:r>
      <w:proofErr w:type="spellStart"/>
      <w:r w:rsidRPr="006905CE">
        <w:rPr>
          <w:rFonts w:ascii="Calibri" w:cs="Calibri"/>
        </w:rPr>
        <w:t>Bahat</w:t>
      </w:r>
      <w:proofErr w:type="spellEnd"/>
      <w:r w:rsidRPr="006905CE">
        <w:rPr>
          <w:rFonts w:ascii="Calibri" w:cs="Calibri"/>
        </w:rPr>
        <w:t xml:space="preserve">, G., Bauer, J., </w:t>
      </w:r>
      <w:proofErr w:type="spellStart"/>
      <w:r w:rsidRPr="006905CE">
        <w:rPr>
          <w:rFonts w:ascii="Calibri" w:cs="Calibri"/>
        </w:rPr>
        <w:t>Boirie</w:t>
      </w:r>
      <w:proofErr w:type="spellEnd"/>
      <w:r w:rsidRPr="006905CE">
        <w:rPr>
          <w:rFonts w:ascii="Calibri" w:cs="Calibri"/>
        </w:rPr>
        <w:t xml:space="preserve">, Y., Bruyère, O., </w:t>
      </w:r>
      <w:proofErr w:type="spellStart"/>
      <w:r w:rsidRPr="006905CE">
        <w:rPr>
          <w:rFonts w:ascii="Calibri" w:cs="Calibri"/>
        </w:rPr>
        <w:t>Cederholm</w:t>
      </w:r>
      <w:proofErr w:type="spellEnd"/>
      <w:r w:rsidRPr="006905CE">
        <w:rPr>
          <w:rFonts w:ascii="Calibri" w:cs="Calibri"/>
        </w:rPr>
        <w:t xml:space="preserve">, T., Cooper, C., Landi, F., Rolland, Y., </w:t>
      </w:r>
      <w:proofErr w:type="spellStart"/>
      <w:r w:rsidRPr="006905CE">
        <w:rPr>
          <w:rFonts w:ascii="Calibri" w:cs="Calibri"/>
        </w:rPr>
        <w:t>Sayer</w:t>
      </w:r>
      <w:proofErr w:type="spellEnd"/>
      <w:r w:rsidRPr="006905CE">
        <w:rPr>
          <w:rFonts w:ascii="Calibri" w:cs="Calibri"/>
        </w:rPr>
        <w:t xml:space="preserve">, A. A., Schneider, S. M., Sieber, C. C., </w:t>
      </w:r>
      <w:proofErr w:type="spellStart"/>
      <w:r w:rsidRPr="006905CE">
        <w:rPr>
          <w:rFonts w:ascii="Calibri" w:cs="Calibri"/>
        </w:rPr>
        <w:t>Topinkova</w:t>
      </w:r>
      <w:proofErr w:type="spellEnd"/>
      <w:r w:rsidRPr="006905CE">
        <w:rPr>
          <w:rFonts w:ascii="Calibri" w:cs="Calibri"/>
        </w:rPr>
        <w:t xml:space="preserve">, E., </w:t>
      </w:r>
      <w:proofErr w:type="spellStart"/>
      <w:r w:rsidRPr="006905CE">
        <w:rPr>
          <w:rFonts w:ascii="Calibri" w:cs="Calibri"/>
        </w:rPr>
        <w:t>Vandewoude</w:t>
      </w:r>
      <w:proofErr w:type="spellEnd"/>
      <w:r w:rsidRPr="006905CE">
        <w:rPr>
          <w:rFonts w:ascii="Calibri" w:cs="Calibri"/>
        </w:rPr>
        <w:t xml:space="preserve">, M., Visser, M., Zamboni, M., &amp; </w:t>
      </w:r>
      <w:proofErr w:type="spellStart"/>
      <w:r w:rsidRPr="006905CE">
        <w:rPr>
          <w:rFonts w:ascii="Calibri" w:cs="Calibri"/>
        </w:rPr>
        <w:t>Writing</w:t>
      </w:r>
      <w:proofErr w:type="spellEnd"/>
      <w:r w:rsidRPr="006905CE">
        <w:rPr>
          <w:rFonts w:ascii="Calibri" w:cs="Calibri"/>
        </w:rPr>
        <w:t xml:space="preserve"> Group for the </w:t>
      </w:r>
      <w:proofErr w:type="spellStart"/>
      <w:r w:rsidRPr="006905CE">
        <w:rPr>
          <w:rFonts w:ascii="Calibri" w:cs="Calibri"/>
        </w:rPr>
        <w:t>European</w:t>
      </w:r>
      <w:proofErr w:type="spellEnd"/>
      <w:r w:rsidRPr="006905CE">
        <w:rPr>
          <w:rFonts w:ascii="Calibri" w:cs="Calibri"/>
        </w:rPr>
        <w:t xml:space="preserve"> </w:t>
      </w:r>
      <w:proofErr w:type="spellStart"/>
      <w:r w:rsidRPr="006905CE">
        <w:rPr>
          <w:rFonts w:ascii="Calibri" w:cs="Calibri"/>
        </w:rPr>
        <w:t>Working</w:t>
      </w:r>
      <w:proofErr w:type="spellEnd"/>
      <w:r w:rsidRPr="006905CE">
        <w:rPr>
          <w:rFonts w:ascii="Calibri" w:cs="Calibri"/>
        </w:rPr>
        <w:t xml:space="preserve"> Group on </w:t>
      </w:r>
      <w:proofErr w:type="spellStart"/>
      <w:r w:rsidRPr="006905CE">
        <w:rPr>
          <w:rFonts w:ascii="Calibri" w:cs="Calibri"/>
        </w:rPr>
        <w:t>Sarcopenia</w:t>
      </w:r>
      <w:proofErr w:type="spellEnd"/>
      <w:r w:rsidRPr="006905CE">
        <w:rPr>
          <w:rFonts w:ascii="Calibri" w:cs="Calibri"/>
        </w:rPr>
        <w:t xml:space="preserve"> in </w:t>
      </w:r>
      <w:proofErr w:type="spellStart"/>
      <w:r w:rsidRPr="006905CE">
        <w:rPr>
          <w:rFonts w:ascii="Calibri" w:cs="Calibri"/>
        </w:rPr>
        <w:t>Older</w:t>
      </w:r>
      <w:proofErr w:type="spellEnd"/>
      <w:r w:rsidRPr="006905CE">
        <w:rPr>
          <w:rFonts w:ascii="Calibri" w:cs="Calibri"/>
        </w:rPr>
        <w:t xml:space="preserve"> People 2 (EWGSOP2), and the Extended Group for EWGSOP2. (2019). </w:t>
      </w:r>
      <w:proofErr w:type="spellStart"/>
      <w:r w:rsidRPr="006905CE">
        <w:rPr>
          <w:rFonts w:ascii="Calibri" w:cs="Calibri"/>
        </w:rPr>
        <w:t>Sarcopenia</w:t>
      </w:r>
      <w:proofErr w:type="spellEnd"/>
      <w:r w:rsidRPr="006905CE">
        <w:rPr>
          <w:rFonts w:ascii="Calibri" w:cs="Calibri"/>
        </w:rPr>
        <w:t xml:space="preserve"> : </w:t>
      </w:r>
      <w:proofErr w:type="spellStart"/>
      <w:r w:rsidRPr="006905CE">
        <w:rPr>
          <w:rFonts w:ascii="Calibri" w:cs="Calibri"/>
        </w:rPr>
        <w:t>Revised</w:t>
      </w:r>
      <w:proofErr w:type="spellEnd"/>
      <w:r w:rsidRPr="006905CE">
        <w:rPr>
          <w:rFonts w:ascii="Calibri" w:cs="Calibri"/>
        </w:rPr>
        <w:t xml:space="preserve"> </w:t>
      </w:r>
      <w:proofErr w:type="spellStart"/>
      <w:r w:rsidRPr="006905CE">
        <w:rPr>
          <w:rFonts w:ascii="Calibri" w:cs="Calibri"/>
        </w:rPr>
        <w:t>European</w:t>
      </w:r>
      <w:proofErr w:type="spellEnd"/>
      <w:r w:rsidRPr="006905CE">
        <w:rPr>
          <w:rFonts w:ascii="Calibri" w:cs="Calibri"/>
        </w:rPr>
        <w:t xml:space="preserve"> consensus on </w:t>
      </w:r>
      <w:proofErr w:type="spellStart"/>
      <w:r w:rsidRPr="006905CE">
        <w:rPr>
          <w:rFonts w:ascii="Calibri" w:cs="Calibri"/>
        </w:rPr>
        <w:t>definition</w:t>
      </w:r>
      <w:proofErr w:type="spellEnd"/>
      <w:r w:rsidRPr="006905CE">
        <w:rPr>
          <w:rFonts w:ascii="Calibri" w:cs="Calibri"/>
        </w:rPr>
        <w:t xml:space="preserve"> and </w:t>
      </w:r>
      <w:proofErr w:type="spellStart"/>
      <w:r w:rsidRPr="006905CE">
        <w:rPr>
          <w:rFonts w:ascii="Calibri" w:cs="Calibri"/>
        </w:rPr>
        <w:t>diagnosis</w:t>
      </w:r>
      <w:proofErr w:type="spellEnd"/>
      <w:r w:rsidRPr="006905CE">
        <w:rPr>
          <w:rFonts w:ascii="Calibri" w:cs="Calibri"/>
        </w:rPr>
        <w:t xml:space="preserve">. </w:t>
      </w:r>
      <w:r w:rsidRPr="006905CE">
        <w:rPr>
          <w:rFonts w:ascii="Calibri" w:cs="Calibri"/>
          <w:i/>
          <w:iCs/>
        </w:rPr>
        <w:t xml:space="preserve">Age and </w:t>
      </w:r>
      <w:proofErr w:type="spellStart"/>
      <w:r w:rsidRPr="006905CE">
        <w:rPr>
          <w:rFonts w:ascii="Calibri" w:cs="Calibri"/>
          <w:i/>
          <w:iCs/>
        </w:rPr>
        <w:t>Ageing</w:t>
      </w:r>
      <w:proofErr w:type="spellEnd"/>
      <w:r w:rsidRPr="006905CE">
        <w:rPr>
          <w:rFonts w:ascii="Calibri" w:cs="Calibri"/>
        </w:rPr>
        <w:t xml:space="preserve">, </w:t>
      </w:r>
      <w:r w:rsidRPr="006905CE">
        <w:rPr>
          <w:rFonts w:ascii="Calibri" w:cs="Calibri"/>
          <w:i/>
          <w:iCs/>
        </w:rPr>
        <w:t>48</w:t>
      </w:r>
      <w:r w:rsidRPr="006905CE">
        <w:rPr>
          <w:rFonts w:ascii="Calibri" w:cs="Calibri"/>
        </w:rPr>
        <w:t>(1), 16</w:t>
      </w:r>
      <w:r w:rsidRPr="006905CE">
        <w:rPr>
          <w:rFonts w:ascii="Cambria Math" w:hAnsi="Cambria Math" w:cs="Cambria Math"/>
        </w:rPr>
        <w:t>‑</w:t>
      </w:r>
      <w:r w:rsidRPr="006905CE">
        <w:rPr>
          <w:rFonts w:ascii="Calibri" w:cs="Calibri"/>
        </w:rPr>
        <w:t>31. https://doi.org/10.1093/ageing/afy169</w:t>
      </w:r>
    </w:p>
    <w:p w14:paraId="7F6C12C9" w14:textId="77777777" w:rsidR="006905CE" w:rsidRPr="006905CE" w:rsidRDefault="006905CE" w:rsidP="006905CE">
      <w:pPr>
        <w:pStyle w:val="Bibliographie"/>
        <w:rPr>
          <w:rFonts w:ascii="Calibri" w:cs="Calibri"/>
        </w:rPr>
      </w:pPr>
      <w:r w:rsidRPr="006905CE">
        <w:rPr>
          <w:rFonts w:ascii="Calibri" w:cs="Calibri"/>
        </w:rPr>
        <w:t xml:space="preserve">Cullen, K. (2019). </w:t>
      </w:r>
      <w:proofErr w:type="spellStart"/>
      <w:r w:rsidRPr="006905CE">
        <w:rPr>
          <w:rFonts w:ascii="Calibri" w:cs="Calibri"/>
        </w:rPr>
        <w:t>Vestibular</w:t>
      </w:r>
      <w:proofErr w:type="spellEnd"/>
      <w:r w:rsidRPr="006905CE">
        <w:rPr>
          <w:rFonts w:ascii="Calibri" w:cs="Calibri"/>
        </w:rPr>
        <w:t xml:space="preserve"> </w:t>
      </w:r>
      <w:proofErr w:type="spellStart"/>
      <w:r w:rsidRPr="006905CE">
        <w:rPr>
          <w:rFonts w:ascii="Calibri" w:cs="Calibri"/>
        </w:rPr>
        <w:t>processing</w:t>
      </w:r>
      <w:proofErr w:type="spellEnd"/>
      <w:r w:rsidRPr="006905CE">
        <w:rPr>
          <w:rFonts w:ascii="Calibri" w:cs="Calibri"/>
        </w:rPr>
        <w:t xml:space="preserve"> </w:t>
      </w:r>
      <w:proofErr w:type="spellStart"/>
      <w:r w:rsidRPr="006905CE">
        <w:rPr>
          <w:rFonts w:ascii="Calibri" w:cs="Calibri"/>
        </w:rPr>
        <w:t>during</w:t>
      </w:r>
      <w:proofErr w:type="spellEnd"/>
      <w:r w:rsidRPr="006905CE">
        <w:rPr>
          <w:rFonts w:ascii="Calibri" w:cs="Calibri"/>
        </w:rPr>
        <w:t xml:space="preserve"> </w:t>
      </w:r>
      <w:proofErr w:type="spellStart"/>
      <w:r w:rsidRPr="006905CE">
        <w:rPr>
          <w:rFonts w:ascii="Calibri" w:cs="Calibri"/>
        </w:rPr>
        <w:t>natural</w:t>
      </w:r>
      <w:proofErr w:type="spellEnd"/>
      <w:r w:rsidRPr="006905CE">
        <w:rPr>
          <w:rFonts w:ascii="Calibri" w:cs="Calibri"/>
        </w:rPr>
        <w:t xml:space="preserve"> self-motion : Implications for perception and action. </w:t>
      </w:r>
      <w:r w:rsidRPr="006905CE">
        <w:rPr>
          <w:rFonts w:ascii="Calibri" w:cs="Calibri"/>
          <w:i/>
          <w:iCs/>
        </w:rPr>
        <w:t xml:space="preserve">Nature </w:t>
      </w:r>
      <w:proofErr w:type="spellStart"/>
      <w:r w:rsidRPr="006905CE">
        <w:rPr>
          <w:rFonts w:ascii="Calibri" w:cs="Calibri"/>
          <w:i/>
          <w:iCs/>
        </w:rPr>
        <w:t>reviews</w:t>
      </w:r>
      <w:proofErr w:type="spellEnd"/>
      <w:r w:rsidRPr="006905CE">
        <w:rPr>
          <w:rFonts w:ascii="Calibri" w:cs="Calibri"/>
          <w:i/>
          <w:iCs/>
        </w:rPr>
        <w:t>. Neuroscience</w:t>
      </w:r>
      <w:r w:rsidRPr="006905CE">
        <w:rPr>
          <w:rFonts w:ascii="Calibri" w:cs="Calibri"/>
        </w:rPr>
        <w:t xml:space="preserve">, </w:t>
      </w:r>
      <w:r w:rsidRPr="006905CE">
        <w:rPr>
          <w:rFonts w:ascii="Calibri" w:cs="Calibri"/>
          <w:i/>
          <w:iCs/>
        </w:rPr>
        <w:t>20</w:t>
      </w:r>
      <w:r w:rsidRPr="006905CE">
        <w:rPr>
          <w:rFonts w:ascii="Calibri" w:cs="Calibri"/>
        </w:rPr>
        <w:t>(6), 346</w:t>
      </w:r>
      <w:r w:rsidRPr="006905CE">
        <w:rPr>
          <w:rFonts w:ascii="Cambria Math" w:hAnsi="Cambria Math" w:cs="Cambria Math"/>
        </w:rPr>
        <w:t>‑</w:t>
      </w:r>
      <w:r w:rsidRPr="006905CE">
        <w:rPr>
          <w:rFonts w:ascii="Calibri" w:cs="Calibri"/>
        </w:rPr>
        <w:t>363. https://doi.org/10.1038/s41583-019-0153-1</w:t>
      </w:r>
    </w:p>
    <w:p w14:paraId="70199D4E" w14:textId="77777777" w:rsidR="006905CE" w:rsidRPr="006905CE" w:rsidRDefault="006905CE" w:rsidP="006905CE">
      <w:pPr>
        <w:pStyle w:val="Bibliographie"/>
        <w:rPr>
          <w:rFonts w:ascii="Calibri" w:cs="Calibri"/>
        </w:rPr>
      </w:pPr>
      <w:r w:rsidRPr="006905CE">
        <w:rPr>
          <w:rFonts w:ascii="Calibri" w:cs="Calibri"/>
          <w:i/>
          <w:iCs/>
        </w:rPr>
        <w:t>Décennie du vieillissement en bonne santé</w:t>
      </w:r>
      <w:r w:rsidRPr="006905CE">
        <w:rPr>
          <w:rFonts w:ascii="Calibri" w:cs="Calibri"/>
        </w:rPr>
        <w:t>. (2021, janvier 6). https://news.un.org/fr/story/2021/01/1086002</w:t>
      </w:r>
    </w:p>
    <w:p w14:paraId="21B4B5F2" w14:textId="77777777" w:rsidR="006905CE" w:rsidRPr="006905CE" w:rsidRDefault="006905CE" w:rsidP="006905CE">
      <w:pPr>
        <w:pStyle w:val="Bibliographie"/>
        <w:rPr>
          <w:rFonts w:ascii="Calibri" w:cs="Calibri"/>
        </w:rPr>
      </w:pPr>
      <w:proofErr w:type="spellStart"/>
      <w:r w:rsidRPr="006905CE">
        <w:rPr>
          <w:rFonts w:ascii="Calibri" w:cs="Calibri"/>
        </w:rPr>
        <w:t>Delfa</w:t>
      </w:r>
      <w:proofErr w:type="spellEnd"/>
      <w:r w:rsidRPr="006905CE">
        <w:rPr>
          <w:rFonts w:ascii="Calibri" w:cs="Calibri"/>
        </w:rPr>
        <w:t xml:space="preserve">-de-la-Morena, J. M., </w:t>
      </w:r>
      <w:proofErr w:type="spellStart"/>
      <w:r w:rsidRPr="006905CE">
        <w:rPr>
          <w:rFonts w:ascii="Calibri" w:cs="Calibri"/>
        </w:rPr>
        <w:t>Paes</w:t>
      </w:r>
      <w:proofErr w:type="spellEnd"/>
      <w:r w:rsidRPr="006905CE">
        <w:rPr>
          <w:rFonts w:ascii="Calibri" w:cs="Calibri"/>
        </w:rPr>
        <w:t xml:space="preserve">, P. P., de Oliveira, D. P. L., </w:t>
      </w:r>
      <w:proofErr w:type="spellStart"/>
      <w:r w:rsidRPr="006905CE">
        <w:rPr>
          <w:rFonts w:ascii="Calibri" w:cs="Calibri"/>
        </w:rPr>
        <w:t>Júnior</w:t>
      </w:r>
      <w:proofErr w:type="spellEnd"/>
      <w:r w:rsidRPr="006905CE">
        <w:rPr>
          <w:rFonts w:ascii="Calibri" w:cs="Calibri"/>
        </w:rPr>
        <w:t xml:space="preserve">, F. C., Lima, B. D. M., García-González, M., </w:t>
      </w:r>
      <w:proofErr w:type="spellStart"/>
      <w:r w:rsidRPr="006905CE">
        <w:rPr>
          <w:rFonts w:ascii="Calibri" w:cs="Calibri"/>
        </w:rPr>
        <w:t>Mijarra</w:t>
      </w:r>
      <w:proofErr w:type="spellEnd"/>
      <w:r w:rsidRPr="006905CE">
        <w:rPr>
          <w:rFonts w:ascii="Calibri" w:cs="Calibri"/>
        </w:rPr>
        <w:t xml:space="preserve">-Murillo, J.-J., &amp; </w:t>
      </w:r>
      <w:proofErr w:type="spellStart"/>
      <w:r w:rsidRPr="006905CE">
        <w:rPr>
          <w:rFonts w:ascii="Calibri" w:cs="Calibri"/>
        </w:rPr>
        <w:t>Riquelme-Aguado</w:t>
      </w:r>
      <w:proofErr w:type="spellEnd"/>
      <w:r w:rsidRPr="006905CE">
        <w:rPr>
          <w:rFonts w:ascii="Calibri" w:cs="Calibri"/>
        </w:rPr>
        <w:t xml:space="preserve">, V. (2024). Single-Leg Balance and </w:t>
      </w:r>
      <w:proofErr w:type="spellStart"/>
      <w:r w:rsidRPr="006905CE">
        <w:rPr>
          <w:rFonts w:ascii="Calibri" w:cs="Calibri"/>
        </w:rPr>
        <w:t>Lower</w:t>
      </w:r>
      <w:proofErr w:type="spellEnd"/>
      <w:r w:rsidRPr="006905CE">
        <w:rPr>
          <w:rFonts w:ascii="Calibri" w:cs="Calibri"/>
        </w:rPr>
        <w:t xml:space="preserve"> </w:t>
      </w:r>
      <w:proofErr w:type="spellStart"/>
      <w:r w:rsidRPr="006905CE">
        <w:rPr>
          <w:rFonts w:ascii="Calibri" w:cs="Calibri"/>
        </w:rPr>
        <w:t>Limb</w:t>
      </w:r>
      <w:proofErr w:type="spellEnd"/>
      <w:r w:rsidRPr="006905CE">
        <w:rPr>
          <w:rFonts w:ascii="Calibri" w:cs="Calibri"/>
        </w:rPr>
        <w:t xml:space="preserve"> </w:t>
      </w:r>
      <w:proofErr w:type="spellStart"/>
      <w:r w:rsidRPr="006905CE">
        <w:rPr>
          <w:rFonts w:ascii="Calibri" w:cs="Calibri"/>
        </w:rPr>
        <w:t>Strength</w:t>
      </w:r>
      <w:proofErr w:type="spellEnd"/>
      <w:r w:rsidRPr="006905CE">
        <w:rPr>
          <w:rFonts w:ascii="Calibri" w:cs="Calibri"/>
        </w:rPr>
        <w:t xml:space="preserve"> : Quantitative </w:t>
      </w:r>
      <w:proofErr w:type="spellStart"/>
      <w:r w:rsidRPr="006905CE">
        <w:rPr>
          <w:rFonts w:ascii="Calibri" w:cs="Calibri"/>
        </w:rPr>
        <w:t>Analysis</w:t>
      </w:r>
      <w:proofErr w:type="spellEnd"/>
      <w:r w:rsidRPr="006905CE">
        <w:rPr>
          <w:rFonts w:ascii="Calibri" w:cs="Calibri"/>
        </w:rPr>
        <w:t xml:space="preserve"> </w:t>
      </w:r>
      <w:proofErr w:type="spellStart"/>
      <w:r w:rsidRPr="006905CE">
        <w:rPr>
          <w:rFonts w:ascii="Calibri" w:cs="Calibri"/>
        </w:rPr>
        <w:t>with</w:t>
      </w:r>
      <w:proofErr w:type="spellEnd"/>
      <w:r w:rsidRPr="006905CE">
        <w:rPr>
          <w:rFonts w:ascii="Calibri" w:cs="Calibri"/>
        </w:rPr>
        <w:t xml:space="preserve"> the Balance Master System. </w:t>
      </w:r>
      <w:r w:rsidRPr="006905CE">
        <w:rPr>
          <w:rFonts w:ascii="Calibri" w:cs="Calibri"/>
          <w:i/>
          <w:iCs/>
        </w:rPr>
        <w:t xml:space="preserve">Journal of </w:t>
      </w:r>
      <w:proofErr w:type="spellStart"/>
      <w:r w:rsidRPr="006905CE">
        <w:rPr>
          <w:rFonts w:ascii="Calibri" w:cs="Calibri"/>
          <w:i/>
          <w:iCs/>
        </w:rPr>
        <w:t>Functional</w:t>
      </w:r>
      <w:proofErr w:type="spellEnd"/>
      <w:r w:rsidRPr="006905CE">
        <w:rPr>
          <w:rFonts w:ascii="Calibri" w:cs="Calibri"/>
          <w:i/>
          <w:iCs/>
        </w:rPr>
        <w:t xml:space="preserve"> </w:t>
      </w:r>
      <w:proofErr w:type="spellStart"/>
      <w:r w:rsidRPr="006905CE">
        <w:rPr>
          <w:rFonts w:ascii="Calibri" w:cs="Calibri"/>
          <w:i/>
          <w:iCs/>
        </w:rPr>
        <w:t>Morphology</w:t>
      </w:r>
      <w:proofErr w:type="spellEnd"/>
      <w:r w:rsidRPr="006905CE">
        <w:rPr>
          <w:rFonts w:ascii="Calibri" w:cs="Calibri"/>
          <w:i/>
          <w:iCs/>
        </w:rPr>
        <w:t xml:space="preserve"> and </w:t>
      </w:r>
      <w:proofErr w:type="spellStart"/>
      <w:r w:rsidRPr="006905CE">
        <w:rPr>
          <w:rFonts w:ascii="Calibri" w:cs="Calibri"/>
          <w:i/>
          <w:iCs/>
        </w:rPr>
        <w:t>Kinesiology</w:t>
      </w:r>
      <w:proofErr w:type="spellEnd"/>
      <w:r w:rsidRPr="006905CE">
        <w:rPr>
          <w:rFonts w:ascii="Calibri" w:cs="Calibri"/>
        </w:rPr>
        <w:t xml:space="preserve">, </w:t>
      </w:r>
      <w:r w:rsidRPr="006905CE">
        <w:rPr>
          <w:rFonts w:ascii="Calibri" w:cs="Calibri"/>
          <w:i/>
          <w:iCs/>
        </w:rPr>
        <w:t>9</w:t>
      </w:r>
      <w:r w:rsidRPr="006905CE">
        <w:rPr>
          <w:rFonts w:ascii="Calibri" w:cs="Calibri"/>
        </w:rPr>
        <w:t>(4), 282. https://doi.org/10.3390/jfmk9040282</w:t>
      </w:r>
    </w:p>
    <w:p w14:paraId="2CB4BB17" w14:textId="0FB2953B" w:rsidR="006905CE" w:rsidRPr="006905CE" w:rsidRDefault="00B5382A" w:rsidP="006905CE">
      <w:pPr>
        <w:pStyle w:val="Bibliographie"/>
        <w:rPr>
          <w:rFonts w:ascii="Calibri" w:cs="Calibri"/>
        </w:rPr>
      </w:pPr>
      <w:r w:rsidRPr="006905CE">
        <w:rPr>
          <w:rFonts w:ascii="Calibri" w:cs="Calibri"/>
        </w:rPr>
        <w:t>Dos</w:t>
      </w:r>
      <w:r w:rsidR="006905CE" w:rsidRPr="006905CE">
        <w:rPr>
          <w:rFonts w:ascii="Calibri" w:cs="Calibri"/>
        </w:rPr>
        <w:t xml:space="preserve"> Santos, N. C., </w:t>
      </w:r>
      <w:proofErr w:type="spellStart"/>
      <w:r w:rsidR="006905CE" w:rsidRPr="006905CE">
        <w:rPr>
          <w:rFonts w:ascii="Calibri" w:cs="Calibri"/>
        </w:rPr>
        <w:t>Miravitlles</w:t>
      </w:r>
      <w:proofErr w:type="spellEnd"/>
      <w:r w:rsidR="006905CE" w:rsidRPr="006905CE">
        <w:rPr>
          <w:rFonts w:ascii="Calibri" w:cs="Calibri"/>
        </w:rPr>
        <w:t xml:space="preserve">, M., </w:t>
      </w:r>
      <w:proofErr w:type="spellStart"/>
      <w:r w:rsidR="006905CE" w:rsidRPr="006905CE">
        <w:rPr>
          <w:rFonts w:ascii="Calibri" w:cs="Calibri"/>
        </w:rPr>
        <w:t>Camelier</w:t>
      </w:r>
      <w:proofErr w:type="spellEnd"/>
      <w:r w:rsidR="006905CE" w:rsidRPr="006905CE">
        <w:rPr>
          <w:rFonts w:ascii="Calibri" w:cs="Calibri"/>
        </w:rPr>
        <w:t xml:space="preserve">, A. A., de Almeida, V. D. C., Maciel, R. R. B. T., &amp; </w:t>
      </w:r>
      <w:proofErr w:type="spellStart"/>
      <w:r w:rsidR="006905CE" w:rsidRPr="006905CE">
        <w:rPr>
          <w:rFonts w:ascii="Calibri" w:cs="Calibri"/>
        </w:rPr>
        <w:t>Camelier</w:t>
      </w:r>
      <w:proofErr w:type="spellEnd"/>
      <w:r w:rsidR="006905CE" w:rsidRPr="006905CE">
        <w:rPr>
          <w:rFonts w:ascii="Calibri" w:cs="Calibri"/>
        </w:rPr>
        <w:t xml:space="preserve">, F. W. R. (2022). </w:t>
      </w:r>
      <w:proofErr w:type="spellStart"/>
      <w:r w:rsidR="006905CE" w:rsidRPr="006905CE">
        <w:rPr>
          <w:rFonts w:ascii="Calibri" w:cs="Calibri"/>
        </w:rPr>
        <w:t>Prevalence</w:t>
      </w:r>
      <w:proofErr w:type="spellEnd"/>
      <w:r w:rsidR="006905CE" w:rsidRPr="006905CE">
        <w:rPr>
          <w:rFonts w:ascii="Calibri" w:cs="Calibri"/>
        </w:rPr>
        <w:t xml:space="preserve"> and Impact of </w:t>
      </w:r>
      <w:proofErr w:type="spellStart"/>
      <w:r w:rsidR="006905CE" w:rsidRPr="006905CE">
        <w:rPr>
          <w:rFonts w:ascii="Calibri" w:cs="Calibri"/>
        </w:rPr>
        <w:t>Comorbidities</w:t>
      </w:r>
      <w:proofErr w:type="spellEnd"/>
      <w:r w:rsidR="006905CE" w:rsidRPr="006905CE">
        <w:rPr>
          <w:rFonts w:ascii="Calibri" w:cs="Calibri"/>
        </w:rPr>
        <w:t xml:space="preserve"> in </w:t>
      </w:r>
      <w:proofErr w:type="spellStart"/>
      <w:r w:rsidR="006905CE" w:rsidRPr="006905CE">
        <w:rPr>
          <w:rFonts w:ascii="Calibri" w:cs="Calibri"/>
        </w:rPr>
        <w:t>Individuals</w:t>
      </w:r>
      <w:proofErr w:type="spellEnd"/>
      <w:r w:rsidR="006905CE" w:rsidRPr="006905CE">
        <w:rPr>
          <w:rFonts w:ascii="Calibri" w:cs="Calibri"/>
        </w:rPr>
        <w:t xml:space="preserve"> </w:t>
      </w:r>
      <w:proofErr w:type="spellStart"/>
      <w:r w:rsidR="006905CE" w:rsidRPr="006905CE">
        <w:rPr>
          <w:rFonts w:ascii="Calibri" w:cs="Calibri"/>
        </w:rPr>
        <w:t>with</w:t>
      </w:r>
      <w:proofErr w:type="spellEnd"/>
      <w:r w:rsidR="006905CE" w:rsidRPr="006905CE">
        <w:rPr>
          <w:rFonts w:ascii="Calibri" w:cs="Calibri"/>
        </w:rPr>
        <w:t xml:space="preserve"> </w:t>
      </w:r>
      <w:proofErr w:type="spellStart"/>
      <w:r w:rsidR="006905CE" w:rsidRPr="006905CE">
        <w:rPr>
          <w:rFonts w:ascii="Calibri" w:cs="Calibri"/>
        </w:rPr>
        <w:t>Chronic</w:t>
      </w:r>
      <w:proofErr w:type="spellEnd"/>
      <w:r w:rsidR="006905CE" w:rsidRPr="006905CE">
        <w:rPr>
          <w:rFonts w:ascii="Calibri" w:cs="Calibri"/>
        </w:rPr>
        <w:t xml:space="preserve"> Obstructive </w:t>
      </w:r>
      <w:proofErr w:type="spellStart"/>
      <w:r w:rsidR="006905CE" w:rsidRPr="006905CE">
        <w:rPr>
          <w:rFonts w:ascii="Calibri" w:cs="Calibri"/>
        </w:rPr>
        <w:t>Pulmonary</w:t>
      </w:r>
      <w:proofErr w:type="spellEnd"/>
      <w:r w:rsidR="006905CE" w:rsidRPr="006905CE">
        <w:rPr>
          <w:rFonts w:ascii="Calibri" w:cs="Calibri"/>
        </w:rPr>
        <w:t xml:space="preserve"> </w:t>
      </w:r>
      <w:proofErr w:type="spellStart"/>
      <w:r w:rsidR="006905CE" w:rsidRPr="006905CE">
        <w:rPr>
          <w:rFonts w:ascii="Calibri" w:cs="Calibri"/>
        </w:rPr>
        <w:t>Disease</w:t>
      </w:r>
      <w:proofErr w:type="spellEnd"/>
      <w:r w:rsidR="006905CE" w:rsidRPr="006905CE">
        <w:rPr>
          <w:rFonts w:ascii="Calibri" w:cs="Calibri"/>
        </w:rPr>
        <w:t xml:space="preserve"> : A </w:t>
      </w:r>
      <w:proofErr w:type="spellStart"/>
      <w:r w:rsidR="006905CE" w:rsidRPr="006905CE">
        <w:rPr>
          <w:rFonts w:ascii="Calibri" w:cs="Calibri"/>
        </w:rPr>
        <w:t>Systematic</w:t>
      </w:r>
      <w:proofErr w:type="spellEnd"/>
      <w:r w:rsidR="006905CE" w:rsidRPr="006905CE">
        <w:rPr>
          <w:rFonts w:ascii="Calibri" w:cs="Calibri"/>
        </w:rPr>
        <w:t xml:space="preserve"> </w:t>
      </w:r>
      <w:proofErr w:type="spellStart"/>
      <w:r w:rsidR="006905CE" w:rsidRPr="006905CE">
        <w:rPr>
          <w:rFonts w:ascii="Calibri" w:cs="Calibri"/>
        </w:rPr>
        <w:t>Review</w:t>
      </w:r>
      <w:proofErr w:type="spellEnd"/>
      <w:r w:rsidR="006905CE" w:rsidRPr="006905CE">
        <w:rPr>
          <w:rFonts w:ascii="Calibri" w:cs="Calibri"/>
        </w:rPr>
        <w:t xml:space="preserve">. </w:t>
      </w:r>
      <w:proofErr w:type="spellStart"/>
      <w:r w:rsidR="006905CE" w:rsidRPr="006905CE">
        <w:rPr>
          <w:rFonts w:ascii="Calibri" w:cs="Calibri"/>
          <w:i/>
          <w:iCs/>
        </w:rPr>
        <w:t>Tuberculosis</w:t>
      </w:r>
      <w:proofErr w:type="spellEnd"/>
      <w:r w:rsidR="006905CE" w:rsidRPr="006905CE">
        <w:rPr>
          <w:rFonts w:ascii="Calibri" w:cs="Calibri"/>
          <w:i/>
          <w:iCs/>
        </w:rPr>
        <w:t xml:space="preserve"> and </w:t>
      </w:r>
      <w:proofErr w:type="spellStart"/>
      <w:r w:rsidR="006905CE" w:rsidRPr="006905CE">
        <w:rPr>
          <w:rFonts w:ascii="Calibri" w:cs="Calibri"/>
          <w:i/>
          <w:iCs/>
        </w:rPr>
        <w:t>Respiratory</w:t>
      </w:r>
      <w:proofErr w:type="spellEnd"/>
      <w:r w:rsidR="006905CE" w:rsidRPr="006905CE">
        <w:rPr>
          <w:rFonts w:ascii="Calibri" w:cs="Calibri"/>
          <w:i/>
          <w:iCs/>
        </w:rPr>
        <w:t xml:space="preserve"> </w:t>
      </w:r>
      <w:proofErr w:type="spellStart"/>
      <w:r w:rsidR="006905CE" w:rsidRPr="006905CE">
        <w:rPr>
          <w:rFonts w:ascii="Calibri" w:cs="Calibri"/>
          <w:i/>
          <w:iCs/>
        </w:rPr>
        <w:t>Diseases</w:t>
      </w:r>
      <w:proofErr w:type="spellEnd"/>
      <w:r w:rsidR="006905CE" w:rsidRPr="006905CE">
        <w:rPr>
          <w:rFonts w:ascii="Calibri" w:cs="Calibri"/>
        </w:rPr>
        <w:t xml:space="preserve">, </w:t>
      </w:r>
      <w:r w:rsidR="006905CE" w:rsidRPr="006905CE">
        <w:rPr>
          <w:rFonts w:ascii="Calibri" w:cs="Calibri"/>
          <w:i/>
          <w:iCs/>
        </w:rPr>
        <w:t>85</w:t>
      </w:r>
      <w:r w:rsidR="006905CE" w:rsidRPr="006905CE">
        <w:rPr>
          <w:rFonts w:ascii="Calibri" w:cs="Calibri"/>
        </w:rPr>
        <w:t>(3), 205</w:t>
      </w:r>
      <w:r w:rsidR="006905CE" w:rsidRPr="006905CE">
        <w:rPr>
          <w:rFonts w:ascii="Cambria Math" w:hAnsi="Cambria Math" w:cs="Cambria Math"/>
        </w:rPr>
        <w:t>‑</w:t>
      </w:r>
      <w:r w:rsidR="006905CE" w:rsidRPr="006905CE">
        <w:rPr>
          <w:rFonts w:ascii="Calibri" w:cs="Calibri"/>
        </w:rPr>
        <w:t>220. https://doi.org/10.4046/trd.2021.0179</w:t>
      </w:r>
    </w:p>
    <w:p w14:paraId="2C7A2159" w14:textId="77777777" w:rsidR="006905CE" w:rsidRPr="006905CE" w:rsidRDefault="006905CE" w:rsidP="006905CE">
      <w:pPr>
        <w:pStyle w:val="Bibliographie"/>
        <w:rPr>
          <w:rFonts w:ascii="Calibri" w:cs="Calibri"/>
        </w:rPr>
      </w:pPr>
      <w:r w:rsidRPr="006905CE">
        <w:rPr>
          <w:rFonts w:ascii="Calibri" w:cs="Calibri"/>
        </w:rPr>
        <w:t xml:space="preserve">Duclos. (2016). </w:t>
      </w:r>
      <w:r w:rsidRPr="006905CE">
        <w:rPr>
          <w:rFonts w:ascii="Calibri" w:cs="Calibri"/>
          <w:i/>
          <w:iCs/>
        </w:rPr>
        <w:t>Contrôle postural : Physiologie, concepts principaux et implications pour la réadaptation</w:t>
      </w:r>
      <w:r w:rsidRPr="006905CE">
        <w:rPr>
          <w:rFonts w:ascii="Calibri" w:cs="Calibri"/>
        </w:rPr>
        <w:t>. https://www.em-consulte.com/article/1073627/controle-postural-physiologie-concepts-principaux-</w:t>
      </w:r>
    </w:p>
    <w:p w14:paraId="645E0B74" w14:textId="77777777" w:rsidR="006905CE" w:rsidRPr="006905CE" w:rsidRDefault="006905CE" w:rsidP="006905CE">
      <w:pPr>
        <w:pStyle w:val="Bibliographie"/>
        <w:rPr>
          <w:rFonts w:ascii="Calibri" w:cs="Calibri"/>
        </w:rPr>
      </w:pPr>
      <w:r w:rsidRPr="006905CE">
        <w:rPr>
          <w:rFonts w:ascii="Calibri" w:cs="Calibri"/>
        </w:rPr>
        <w:t xml:space="preserve">Duncan, R. P., Leddy, A. L., </w:t>
      </w:r>
      <w:proofErr w:type="spellStart"/>
      <w:r w:rsidRPr="006905CE">
        <w:rPr>
          <w:rFonts w:ascii="Calibri" w:cs="Calibri"/>
        </w:rPr>
        <w:t>Cavanaugh</w:t>
      </w:r>
      <w:proofErr w:type="spellEnd"/>
      <w:r w:rsidRPr="006905CE">
        <w:rPr>
          <w:rFonts w:ascii="Calibri" w:cs="Calibri"/>
        </w:rPr>
        <w:t xml:space="preserve">, J. T., Dibble, L. E., Ellis, T. D., Ford, M. P., Foreman, K. B., &amp; </w:t>
      </w:r>
      <w:proofErr w:type="spellStart"/>
      <w:r w:rsidRPr="006905CE">
        <w:rPr>
          <w:rFonts w:ascii="Calibri" w:cs="Calibri"/>
        </w:rPr>
        <w:t>Earhart</w:t>
      </w:r>
      <w:proofErr w:type="spellEnd"/>
      <w:r w:rsidRPr="006905CE">
        <w:rPr>
          <w:rFonts w:ascii="Calibri" w:cs="Calibri"/>
        </w:rPr>
        <w:t xml:space="preserve">, G. M. (2013a). Comparative Utility of the </w:t>
      </w:r>
      <w:proofErr w:type="spellStart"/>
      <w:r w:rsidRPr="006905CE">
        <w:rPr>
          <w:rFonts w:ascii="Calibri" w:cs="Calibri"/>
        </w:rPr>
        <w:t>BESTest</w:t>
      </w:r>
      <w:proofErr w:type="spellEnd"/>
      <w:r w:rsidRPr="006905CE">
        <w:rPr>
          <w:rFonts w:ascii="Calibri" w:cs="Calibri"/>
        </w:rPr>
        <w:t>, Mini-</w:t>
      </w:r>
      <w:proofErr w:type="spellStart"/>
      <w:r w:rsidRPr="006905CE">
        <w:rPr>
          <w:rFonts w:ascii="Calibri" w:cs="Calibri"/>
        </w:rPr>
        <w:t>BESTest</w:t>
      </w:r>
      <w:proofErr w:type="spellEnd"/>
      <w:r w:rsidRPr="006905CE">
        <w:rPr>
          <w:rFonts w:ascii="Calibri" w:cs="Calibri"/>
        </w:rPr>
        <w:t>, and Brief-</w:t>
      </w:r>
      <w:proofErr w:type="spellStart"/>
      <w:r w:rsidRPr="006905CE">
        <w:rPr>
          <w:rFonts w:ascii="Calibri" w:cs="Calibri"/>
        </w:rPr>
        <w:t>BESTest</w:t>
      </w:r>
      <w:proofErr w:type="spellEnd"/>
      <w:r w:rsidRPr="006905CE">
        <w:rPr>
          <w:rFonts w:ascii="Calibri" w:cs="Calibri"/>
        </w:rPr>
        <w:t xml:space="preserve"> for </w:t>
      </w:r>
      <w:proofErr w:type="spellStart"/>
      <w:r w:rsidRPr="006905CE">
        <w:rPr>
          <w:rFonts w:ascii="Calibri" w:cs="Calibri"/>
        </w:rPr>
        <w:t>Predicting</w:t>
      </w:r>
      <w:proofErr w:type="spellEnd"/>
      <w:r w:rsidRPr="006905CE">
        <w:rPr>
          <w:rFonts w:ascii="Calibri" w:cs="Calibri"/>
        </w:rPr>
        <w:t xml:space="preserve"> </w:t>
      </w:r>
      <w:proofErr w:type="spellStart"/>
      <w:r w:rsidRPr="006905CE">
        <w:rPr>
          <w:rFonts w:ascii="Calibri" w:cs="Calibri"/>
        </w:rPr>
        <w:t>Falls</w:t>
      </w:r>
      <w:proofErr w:type="spellEnd"/>
      <w:r w:rsidRPr="006905CE">
        <w:rPr>
          <w:rFonts w:ascii="Calibri" w:cs="Calibri"/>
        </w:rPr>
        <w:t xml:space="preserve"> in </w:t>
      </w:r>
      <w:proofErr w:type="spellStart"/>
      <w:r w:rsidRPr="006905CE">
        <w:rPr>
          <w:rFonts w:ascii="Calibri" w:cs="Calibri"/>
        </w:rPr>
        <w:t>Individuals</w:t>
      </w:r>
      <w:proofErr w:type="spellEnd"/>
      <w:r w:rsidRPr="006905CE">
        <w:rPr>
          <w:rFonts w:ascii="Calibri" w:cs="Calibri"/>
        </w:rPr>
        <w:t xml:space="preserve"> </w:t>
      </w:r>
      <w:proofErr w:type="spellStart"/>
      <w:r w:rsidRPr="006905CE">
        <w:rPr>
          <w:rFonts w:ascii="Calibri" w:cs="Calibri"/>
        </w:rPr>
        <w:t>With</w:t>
      </w:r>
      <w:proofErr w:type="spellEnd"/>
      <w:r w:rsidRPr="006905CE">
        <w:rPr>
          <w:rFonts w:ascii="Calibri" w:cs="Calibri"/>
        </w:rPr>
        <w:t xml:space="preserve"> Parkinson </w:t>
      </w:r>
      <w:proofErr w:type="spellStart"/>
      <w:r w:rsidRPr="006905CE">
        <w:rPr>
          <w:rFonts w:ascii="Calibri" w:cs="Calibri"/>
        </w:rPr>
        <w:t>Disease</w:t>
      </w:r>
      <w:proofErr w:type="spellEnd"/>
      <w:r w:rsidRPr="006905CE">
        <w:rPr>
          <w:rFonts w:ascii="Calibri" w:cs="Calibri"/>
        </w:rPr>
        <w:t xml:space="preserve"> : A </w:t>
      </w:r>
      <w:proofErr w:type="spellStart"/>
      <w:r w:rsidRPr="006905CE">
        <w:rPr>
          <w:rFonts w:ascii="Calibri" w:cs="Calibri"/>
        </w:rPr>
        <w:t>Cohort</w:t>
      </w:r>
      <w:proofErr w:type="spellEnd"/>
      <w:r w:rsidRPr="006905CE">
        <w:rPr>
          <w:rFonts w:ascii="Calibri" w:cs="Calibri"/>
        </w:rPr>
        <w:t xml:space="preserve"> </w:t>
      </w:r>
      <w:proofErr w:type="spellStart"/>
      <w:r w:rsidRPr="006905CE">
        <w:rPr>
          <w:rFonts w:ascii="Calibri" w:cs="Calibri"/>
        </w:rPr>
        <w:t>Study</w:t>
      </w:r>
      <w:proofErr w:type="spellEnd"/>
      <w:r w:rsidRPr="006905CE">
        <w:rPr>
          <w:rFonts w:ascii="Calibri" w:cs="Calibri"/>
        </w:rPr>
        <w:t xml:space="preserve">. </w:t>
      </w:r>
      <w:r w:rsidRPr="006905CE">
        <w:rPr>
          <w:rFonts w:ascii="Calibri" w:cs="Calibri"/>
          <w:i/>
          <w:iCs/>
        </w:rPr>
        <w:t xml:space="preserve">Physical </w:t>
      </w:r>
      <w:proofErr w:type="spellStart"/>
      <w:r w:rsidRPr="006905CE">
        <w:rPr>
          <w:rFonts w:ascii="Calibri" w:cs="Calibri"/>
          <w:i/>
          <w:iCs/>
        </w:rPr>
        <w:t>Therapy</w:t>
      </w:r>
      <w:proofErr w:type="spellEnd"/>
      <w:r w:rsidRPr="006905CE">
        <w:rPr>
          <w:rFonts w:ascii="Calibri" w:cs="Calibri"/>
        </w:rPr>
        <w:t xml:space="preserve">, </w:t>
      </w:r>
      <w:r w:rsidRPr="006905CE">
        <w:rPr>
          <w:rFonts w:ascii="Calibri" w:cs="Calibri"/>
          <w:i/>
          <w:iCs/>
        </w:rPr>
        <w:t>93</w:t>
      </w:r>
      <w:r w:rsidRPr="006905CE">
        <w:rPr>
          <w:rFonts w:ascii="Calibri" w:cs="Calibri"/>
        </w:rPr>
        <w:t>(4), 542</w:t>
      </w:r>
      <w:r w:rsidRPr="006905CE">
        <w:rPr>
          <w:rFonts w:ascii="Cambria Math" w:hAnsi="Cambria Math" w:cs="Cambria Math"/>
        </w:rPr>
        <w:t>‑</w:t>
      </w:r>
      <w:r w:rsidRPr="006905CE">
        <w:rPr>
          <w:rFonts w:ascii="Calibri" w:cs="Calibri"/>
        </w:rPr>
        <w:t>550. https://doi.org/10.2522/ptj.20120302</w:t>
      </w:r>
    </w:p>
    <w:p w14:paraId="632D5D9F" w14:textId="77777777" w:rsidR="006905CE" w:rsidRPr="006905CE" w:rsidRDefault="006905CE" w:rsidP="006905CE">
      <w:pPr>
        <w:pStyle w:val="Bibliographie"/>
        <w:rPr>
          <w:rFonts w:ascii="Calibri" w:cs="Calibri"/>
        </w:rPr>
      </w:pPr>
      <w:proofErr w:type="spellStart"/>
      <w:r w:rsidRPr="006905CE">
        <w:rPr>
          <w:rFonts w:ascii="Calibri" w:cs="Calibri"/>
        </w:rPr>
        <w:lastRenderedPageBreak/>
        <w:t>Fay</w:t>
      </w:r>
      <w:proofErr w:type="spellEnd"/>
      <w:r w:rsidRPr="006905CE">
        <w:rPr>
          <w:rFonts w:ascii="Calibri" w:cs="Calibri"/>
        </w:rPr>
        <w:t xml:space="preserve"> B. </w:t>
      </w:r>
      <w:proofErr w:type="spellStart"/>
      <w:r w:rsidRPr="006905CE">
        <w:rPr>
          <w:rFonts w:ascii="Calibri" w:cs="Calibri"/>
        </w:rPr>
        <w:t>Horak</w:t>
      </w:r>
      <w:proofErr w:type="spellEnd"/>
      <w:r w:rsidRPr="006905CE">
        <w:rPr>
          <w:rFonts w:ascii="Calibri" w:cs="Calibri"/>
        </w:rPr>
        <w:t xml:space="preserve">. (1997). </w:t>
      </w:r>
      <w:proofErr w:type="spellStart"/>
      <w:r w:rsidRPr="006905CE">
        <w:rPr>
          <w:rFonts w:ascii="Calibri" w:cs="Calibri"/>
          <w:i/>
          <w:iCs/>
        </w:rPr>
        <w:t>Clinical</w:t>
      </w:r>
      <w:proofErr w:type="spellEnd"/>
      <w:r w:rsidRPr="006905CE">
        <w:rPr>
          <w:rFonts w:ascii="Calibri" w:cs="Calibri"/>
          <w:i/>
          <w:iCs/>
        </w:rPr>
        <w:t xml:space="preserve"> </w:t>
      </w:r>
      <w:proofErr w:type="spellStart"/>
      <w:r w:rsidRPr="006905CE">
        <w:rPr>
          <w:rFonts w:ascii="Calibri" w:cs="Calibri"/>
          <w:i/>
          <w:iCs/>
        </w:rPr>
        <w:t>assessment</w:t>
      </w:r>
      <w:proofErr w:type="spellEnd"/>
      <w:r w:rsidRPr="006905CE">
        <w:rPr>
          <w:rFonts w:ascii="Calibri" w:cs="Calibri"/>
          <w:i/>
          <w:iCs/>
        </w:rPr>
        <w:t xml:space="preserve"> of balance </w:t>
      </w:r>
      <w:proofErr w:type="spellStart"/>
      <w:r w:rsidRPr="006905CE">
        <w:rPr>
          <w:rFonts w:ascii="Calibri" w:cs="Calibri"/>
          <w:i/>
          <w:iCs/>
        </w:rPr>
        <w:t>disorders</w:t>
      </w:r>
      <w:proofErr w:type="spellEnd"/>
      <w:r w:rsidRPr="006905CE">
        <w:rPr>
          <w:rFonts w:ascii="Calibri" w:cs="Calibri"/>
        </w:rPr>
        <w:t>.</w:t>
      </w:r>
    </w:p>
    <w:p w14:paraId="5E6D8237" w14:textId="77777777" w:rsidR="006905CE" w:rsidRPr="006905CE" w:rsidRDefault="006905CE" w:rsidP="006905CE">
      <w:pPr>
        <w:pStyle w:val="Bibliographie"/>
        <w:rPr>
          <w:rFonts w:ascii="Calibri" w:cs="Calibri"/>
        </w:rPr>
      </w:pPr>
      <w:proofErr w:type="spellStart"/>
      <w:r w:rsidRPr="006905CE">
        <w:rPr>
          <w:rFonts w:ascii="Calibri" w:cs="Calibri"/>
        </w:rPr>
        <w:t>Fenneteau</w:t>
      </w:r>
      <w:proofErr w:type="spellEnd"/>
      <w:r w:rsidRPr="006905CE">
        <w:rPr>
          <w:rFonts w:ascii="Calibri" w:cs="Calibri"/>
        </w:rPr>
        <w:t xml:space="preserve">, H. (2015). Chapitre 5. La structuration et le test du questionnaire. </w:t>
      </w:r>
      <w:r w:rsidRPr="006905CE">
        <w:rPr>
          <w:rFonts w:ascii="Calibri" w:cs="Calibri"/>
          <w:i/>
          <w:iCs/>
        </w:rPr>
        <w:t>Les Topos</w:t>
      </w:r>
      <w:r w:rsidRPr="006905CE">
        <w:rPr>
          <w:rFonts w:ascii="Calibri" w:cs="Calibri"/>
        </w:rPr>
        <w:t xml:space="preserve">, </w:t>
      </w:r>
      <w:r w:rsidRPr="006905CE">
        <w:rPr>
          <w:rFonts w:ascii="Calibri" w:cs="Calibri"/>
          <w:i/>
          <w:iCs/>
        </w:rPr>
        <w:t>3</w:t>
      </w:r>
      <w:r w:rsidRPr="006905CE">
        <w:rPr>
          <w:rFonts w:ascii="Calibri" w:cs="Calibri"/>
        </w:rPr>
        <w:t>, 111</w:t>
      </w:r>
      <w:r w:rsidRPr="006905CE">
        <w:rPr>
          <w:rFonts w:ascii="Cambria Math" w:hAnsi="Cambria Math" w:cs="Cambria Math"/>
        </w:rPr>
        <w:t>‑</w:t>
      </w:r>
      <w:r w:rsidRPr="006905CE">
        <w:rPr>
          <w:rFonts w:ascii="Calibri" w:cs="Calibri"/>
        </w:rPr>
        <w:t>120.</w:t>
      </w:r>
    </w:p>
    <w:p w14:paraId="2A294F93" w14:textId="77777777" w:rsidR="006905CE" w:rsidRPr="006905CE" w:rsidRDefault="006905CE" w:rsidP="006905CE">
      <w:pPr>
        <w:pStyle w:val="Bibliographie"/>
        <w:rPr>
          <w:rFonts w:ascii="Calibri" w:cs="Calibri"/>
        </w:rPr>
      </w:pPr>
      <w:r w:rsidRPr="006905CE">
        <w:rPr>
          <w:rFonts w:ascii="Calibri" w:cs="Calibri"/>
        </w:rPr>
        <w:t xml:space="preserve">Fink, A. (2003). </w:t>
      </w:r>
      <w:r w:rsidRPr="006905CE">
        <w:rPr>
          <w:rFonts w:ascii="Calibri" w:cs="Calibri"/>
          <w:i/>
          <w:iCs/>
        </w:rPr>
        <w:t xml:space="preserve">How to Report on </w:t>
      </w:r>
      <w:proofErr w:type="spellStart"/>
      <w:r w:rsidRPr="006905CE">
        <w:rPr>
          <w:rFonts w:ascii="Calibri" w:cs="Calibri"/>
          <w:i/>
          <w:iCs/>
        </w:rPr>
        <w:t>Surveys</w:t>
      </w:r>
      <w:proofErr w:type="spellEnd"/>
      <w:r w:rsidRPr="006905CE">
        <w:rPr>
          <w:rFonts w:ascii="Calibri" w:cs="Calibri"/>
        </w:rPr>
        <w:t>. SAGE Publications, Inc. https://doi.org/10.4135/9781412984461</w:t>
      </w:r>
    </w:p>
    <w:p w14:paraId="0DDE7AD8" w14:textId="77777777" w:rsidR="006905CE" w:rsidRPr="006905CE" w:rsidRDefault="006905CE" w:rsidP="006905CE">
      <w:pPr>
        <w:pStyle w:val="Bibliographie"/>
        <w:rPr>
          <w:rFonts w:ascii="Calibri" w:cs="Calibri"/>
        </w:rPr>
      </w:pPr>
      <w:proofErr w:type="spellStart"/>
      <w:r w:rsidRPr="006905CE">
        <w:rPr>
          <w:rFonts w:ascii="Calibri" w:cs="Calibri"/>
        </w:rPr>
        <w:t>Firdion</w:t>
      </w:r>
      <w:proofErr w:type="spellEnd"/>
      <w:r w:rsidRPr="006905CE">
        <w:rPr>
          <w:rFonts w:ascii="Calibri" w:cs="Calibri"/>
        </w:rPr>
        <w:t xml:space="preserve">, J.-M. (2010). Construire un échantillon. </w:t>
      </w:r>
      <w:r w:rsidRPr="006905CE">
        <w:rPr>
          <w:rFonts w:ascii="Calibri" w:cs="Calibri"/>
          <w:i/>
          <w:iCs/>
        </w:rPr>
        <w:t>L’Enquête Sociologique</w:t>
      </w:r>
      <w:r w:rsidRPr="006905CE">
        <w:rPr>
          <w:rFonts w:ascii="Calibri" w:cs="Calibri"/>
        </w:rPr>
        <w:t>, 72</w:t>
      </w:r>
      <w:r w:rsidRPr="006905CE">
        <w:rPr>
          <w:rFonts w:ascii="Cambria Math" w:hAnsi="Cambria Math" w:cs="Cambria Math"/>
        </w:rPr>
        <w:t>‑</w:t>
      </w:r>
      <w:r w:rsidRPr="006905CE">
        <w:rPr>
          <w:rFonts w:ascii="Calibri" w:cs="Calibri"/>
        </w:rPr>
        <w:t>92.</w:t>
      </w:r>
    </w:p>
    <w:p w14:paraId="2B1B6C0A" w14:textId="77777777" w:rsidR="006905CE" w:rsidRPr="006905CE" w:rsidRDefault="006905CE" w:rsidP="006905CE">
      <w:pPr>
        <w:pStyle w:val="Bibliographie"/>
        <w:rPr>
          <w:rFonts w:ascii="Calibri" w:cs="Calibri"/>
        </w:rPr>
      </w:pPr>
      <w:r w:rsidRPr="006905CE">
        <w:rPr>
          <w:rFonts w:ascii="Calibri" w:cs="Calibri"/>
        </w:rPr>
        <w:t xml:space="preserve">Fournier, L. S. (2012). La loi Jardé : Une nouvelle loi régissant la recherche médicale. </w:t>
      </w:r>
      <w:r w:rsidRPr="006905CE">
        <w:rPr>
          <w:rFonts w:ascii="Calibri" w:cs="Calibri"/>
          <w:i/>
          <w:iCs/>
        </w:rPr>
        <w:t>Hegel</w:t>
      </w:r>
      <w:r w:rsidRPr="006905CE">
        <w:rPr>
          <w:rFonts w:ascii="Calibri" w:cs="Calibri"/>
        </w:rPr>
        <w:t xml:space="preserve">, </w:t>
      </w:r>
      <w:r w:rsidRPr="006905CE">
        <w:rPr>
          <w:rFonts w:ascii="Calibri" w:cs="Calibri"/>
          <w:i/>
          <w:iCs/>
        </w:rPr>
        <w:t>3</w:t>
      </w:r>
      <w:r w:rsidRPr="006905CE">
        <w:rPr>
          <w:rFonts w:ascii="Calibri" w:cs="Calibri"/>
        </w:rPr>
        <w:t>(3), 47</w:t>
      </w:r>
      <w:r w:rsidRPr="006905CE">
        <w:rPr>
          <w:rFonts w:ascii="Cambria Math" w:hAnsi="Cambria Math" w:cs="Cambria Math"/>
        </w:rPr>
        <w:t>‑</w:t>
      </w:r>
      <w:r w:rsidRPr="006905CE">
        <w:rPr>
          <w:rFonts w:ascii="Calibri" w:cs="Calibri"/>
        </w:rPr>
        <w:t>50. https://doi.org/10.4267/2042/48249</w:t>
      </w:r>
    </w:p>
    <w:p w14:paraId="560C7E9E" w14:textId="77777777" w:rsidR="006905CE" w:rsidRPr="006905CE" w:rsidRDefault="006905CE" w:rsidP="006905CE">
      <w:pPr>
        <w:pStyle w:val="Bibliographie"/>
        <w:rPr>
          <w:rFonts w:ascii="Calibri" w:cs="Calibri"/>
        </w:rPr>
      </w:pPr>
      <w:proofErr w:type="spellStart"/>
      <w:r w:rsidRPr="006905CE">
        <w:rPr>
          <w:rFonts w:ascii="Calibri" w:cs="Calibri"/>
        </w:rPr>
        <w:t>Franchignoni</w:t>
      </w:r>
      <w:proofErr w:type="spellEnd"/>
      <w:r w:rsidRPr="006905CE">
        <w:rPr>
          <w:rFonts w:ascii="Calibri" w:cs="Calibri"/>
        </w:rPr>
        <w:t xml:space="preserve">, F., </w:t>
      </w:r>
      <w:proofErr w:type="spellStart"/>
      <w:r w:rsidRPr="006905CE">
        <w:rPr>
          <w:rFonts w:ascii="Calibri" w:cs="Calibri"/>
        </w:rPr>
        <w:t>Horak</w:t>
      </w:r>
      <w:proofErr w:type="spellEnd"/>
      <w:r w:rsidRPr="006905CE">
        <w:rPr>
          <w:rFonts w:ascii="Calibri" w:cs="Calibri"/>
        </w:rPr>
        <w:t xml:space="preserve">, F., </w:t>
      </w:r>
      <w:proofErr w:type="spellStart"/>
      <w:r w:rsidRPr="006905CE">
        <w:rPr>
          <w:rFonts w:ascii="Calibri" w:cs="Calibri"/>
        </w:rPr>
        <w:t>Godi</w:t>
      </w:r>
      <w:proofErr w:type="spellEnd"/>
      <w:r w:rsidRPr="006905CE">
        <w:rPr>
          <w:rFonts w:ascii="Calibri" w:cs="Calibri"/>
        </w:rPr>
        <w:t xml:space="preserve">, M., </w:t>
      </w:r>
      <w:proofErr w:type="spellStart"/>
      <w:r w:rsidRPr="006905CE">
        <w:rPr>
          <w:rFonts w:ascii="Calibri" w:cs="Calibri"/>
        </w:rPr>
        <w:t>Nardone</w:t>
      </w:r>
      <w:proofErr w:type="spellEnd"/>
      <w:r w:rsidRPr="006905CE">
        <w:rPr>
          <w:rFonts w:ascii="Calibri" w:cs="Calibri"/>
        </w:rPr>
        <w:t xml:space="preserve">, A., &amp; Giordano, A. (2010). </w:t>
      </w:r>
      <w:proofErr w:type="spellStart"/>
      <w:r w:rsidRPr="006905CE">
        <w:rPr>
          <w:rFonts w:ascii="Calibri" w:cs="Calibri"/>
        </w:rPr>
        <w:t>Using</w:t>
      </w:r>
      <w:proofErr w:type="spellEnd"/>
      <w:r w:rsidRPr="006905CE">
        <w:rPr>
          <w:rFonts w:ascii="Calibri" w:cs="Calibri"/>
        </w:rPr>
        <w:t xml:space="preserve"> </w:t>
      </w:r>
      <w:proofErr w:type="spellStart"/>
      <w:r w:rsidRPr="006905CE">
        <w:rPr>
          <w:rFonts w:ascii="Calibri" w:cs="Calibri"/>
        </w:rPr>
        <w:t>psychometric</w:t>
      </w:r>
      <w:proofErr w:type="spellEnd"/>
      <w:r w:rsidRPr="006905CE">
        <w:rPr>
          <w:rFonts w:ascii="Calibri" w:cs="Calibri"/>
        </w:rPr>
        <w:t xml:space="preserve"> techniques to </w:t>
      </w:r>
      <w:proofErr w:type="spellStart"/>
      <w:r w:rsidRPr="006905CE">
        <w:rPr>
          <w:rFonts w:ascii="Calibri" w:cs="Calibri"/>
        </w:rPr>
        <w:t>improve</w:t>
      </w:r>
      <w:proofErr w:type="spellEnd"/>
      <w:r w:rsidRPr="006905CE">
        <w:rPr>
          <w:rFonts w:ascii="Calibri" w:cs="Calibri"/>
        </w:rPr>
        <w:t xml:space="preserve"> the Balance </w:t>
      </w:r>
      <w:proofErr w:type="spellStart"/>
      <w:r w:rsidRPr="006905CE">
        <w:rPr>
          <w:rFonts w:ascii="Calibri" w:cs="Calibri"/>
        </w:rPr>
        <w:t>Evaluation</w:t>
      </w:r>
      <w:proofErr w:type="spellEnd"/>
      <w:r w:rsidRPr="006905CE">
        <w:rPr>
          <w:rFonts w:ascii="Calibri" w:cs="Calibri"/>
        </w:rPr>
        <w:t xml:space="preserve"> </w:t>
      </w:r>
      <w:proofErr w:type="spellStart"/>
      <w:r w:rsidRPr="006905CE">
        <w:rPr>
          <w:rFonts w:ascii="Calibri" w:cs="Calibri"/>
        </w:rPr>
        <w:t>System’s</w:t>
      </w:r>
      <w:proofErr w:type="spellEnd"/>
      <w:r w:rsidRPr="006905CE">
        <w:rPr>
          <w:rFonts w:ascii="Calibri" w:cs="Calibri"/>
        </w:rPr>
        <w:t xml:space="preserve"> Test : The mini-</w:t>
      </w:r>
      <w:proofErr w:type="spellStart"/>
      <w:r w:rsidRPr="006905CE">
        <w:rPr>
          <w:rFonts w:ascii="Calibri" w:cs="Calibri"/>
        </w:rPr>
        <w:t>BESTest</w:t>
      </w:r>
      <w:proofErr w:type="spellEnd"/>
      <w:r w:rsidRPr="006905CE">
        <w:rPr>
          <w:rFonts w:ascii="Calibri" w:cs="Calibri"/>
        </w:rPr>
        <w:t xml:space="preserve">. </w:t>
      </w:r>
      <w:r w:rsidRPr="006905CE">
        <w:rPr>
          <w:rFonts w:ascii="Calibri" w:cs="Calibri"/>
          <w:i/>
          <w:iCs/>
        </w:rPr>
        <w:t xml:space="preserve">Journal of </w:t>
      </w:r>
      <w:proofErr w:type="spellStart"/>
      <w:r w:rsidRPr="006905CE">
        <w:rPr>
          <w:rFonts w:ascii="Calibri" w:cs="Calibri"/>
          <w:i/>
          <w:iCs/>
        </w:rPr>
        <w:t>rehabilitation</w:t>
      </w:r>
      <w:proofErr w:type="spellEnd"/>
      <w:r w:rsidRPr="006905CE">
        <w:rPr>
          <w:rFonts w:ascii="Calibri" w:cs="Calibri"/>
          <w:i/>
          <w:iCs/>
        </w:rPr>
        <w:t xml:space="preserve"> </w:t>
      </w:r>
      <w:proofErr w:type="spellStart"/>
      <w:r w:rsidRPr="006905CE">
        <w:rPr>
          <w:rFonts w:ascii="Calibri" w:cs="Calibri"/>
          <w:i/>
          <w:iCs/>
        </w:rPr>
        <w:t>medicine</w:t>
      </w:r>
      <w:proofErr w:type="spellEnd"/>
      <w:r w:rsidRPr="006905CE">
        <w:rPr>
          <w:rFonts w:ascii="Calibri" w:cs="Calibri"/>
          <w:i/>
          <w:iCs/>
        </w:rPr>
        <w:t xml:space="preserve"> : official journal of the UEMS </w:t>
      </w:r>
      <w:proofErr w:type="spellStart"/>
      <w:r w:rsidRPr="006905CE">
        <w:rPr>
          <w:rFonts w:ascii="Calibri" w:cs="Calibri"/>
          <w:i/>
          <w:iCs/>
        </w:rPr>
        <w:t>European</w:t>
      </w:r>
      <w:proofErr w:type="spellEnd"/>
      <w:r w:rsidRPr="006905CE">
        <w:rPr>
          <w:rFonts w:ascii="Calibri" w:cs="Calibri"/>
          <w:i/>
          <w:iCs/>
        </w:rPr>
        <w:t xml:space="preserve"> </w:t>
      </w:r>
      <w:proofErr w:type="spellStart"/>
      <w:r w:rsidRPr="006905CE">
        <w:rPr>
          <w:rFonts w:ascii="Calibri" w:cs="Calibri"/>
          <w:i/>
          <w:iCs/>
        </w:rPr>
        <w:t>Board</w:t>
      </w:r>
      <w:proofErr w:type="spellEnd"/>
      <w:r w:rsidRPr="006905CE">
        <w:rPr>
          <w:rFonts w:ascii="Calibri" w:cs="Calibri"/>
          <w:i/>
          <w:iCs/>
        </w:rPr>
        <w:t xml:space="preserve"> of Physical and </w:t>
      </w:r>
      <w:proofErr w:type="spellStart"/>
      <w:r w:rsidRPr="006905CE">
        <w:rPr>
          <w:rFonts w:ascii="Calibri" w:cs="Calibri"/>
          <w:i/>
          <w:iCs/>
        </w:rPr>
        <w:t>Rehabilitation</w:t>
      </w:r>
      <w:proofErr w:type="spellEnd"/>
      <w:r w:rsidRPr="006905CE">
        <w:rPr>
          <w:rFonts w:ascii="Calibri" w:cs="Calibri"/>
          <w:i/>
          <w:iCs/>
        </w:rPr>
        <w:t xml:space="preserve"> </w:t>
      </w:r>
      <w:proofErr w:type="spellStart"/>
      <w:r w:rsidRPr="006905CE">
        <w:rPr>
          <w:rFonts w:ascii="Calibri" w:cs="Calibri"/>
          <w:i/>
          <w:iCs/>
        </w:rPr>
        <w:t>Medicine</w:t>
      </w:r>
      <w:proofErr w:type="spellEnd"/>
      <w:r w:rsidRPr="006905CE">
        <w:rPr>
          <w:rFonts w:ascii="Calibri" w:cs="Calibri"/>
        </w:rPr>
        <w:t xml:space="preserve">, </w:t>
      </w:r>
      <w:r w:rsidRPr="006905CE">
        <w:rPr>
          <w:rFonts w:ascii="Calibri" w:cs="Calibri"/>
          <w:i/>
          <w:iCs/>
        </w:rPr>
        <w:t>42</w:t>
      </w:r>
      <w:r w:rsidRPr="006905CE">
        <w:rPr>
          <w:rFonts w:ascii="Calibri" w:cs="Calibri"/>
        </w:rPr>
        <w:t>(4), 323</w:t>
      </w:r>
      <w:r w:rsidRPr="006905CE">
        <w:rPr>
          <w:rFonts w:ascii="Cambria Math" w:hAnsi="Cambria Math" w:cs="Cambria Math"/>
        </w:rPr>
        <w:t>‑</w:t>
      </w:r>
      <w:r w:rsidRPr="006905CE">
        <w:rPr>
          <w:rFonts w:ascii="Calibri" w:cs="Calibri"/>
        </w:rPr>
        <w:t>331. https://doi.org/10.2340/16501977-0537</w:t>
      </w:r>
    </w:p>
    <w:p w14:paraId="38625C13" w14:textId="77777777" w:rsidR="006905CE" w:rsidRPr="006905CE" w:rsidRDefault="006905CE" w:rsidP="006905CE">
      <w:pPr>
        <w:pStyle w:val="Bibliographie"/>
        <w:rPr>
          <w:rFonts w:ascii="Calibri" w:cs="Calibri"/>
        </w:rPr>
      </w:pPr>
      <w:r w:rsidRPr="006905CE">
        <w:rPr>
          <w:rFonts w:ascii="Calibri" w:cs="Calibri"/>
        </w:rPr>
        <w:t xml:space="preserve">Gaspar, A. G. M., &amp; </w:t>
      </w:r>
      <w:proofErr w:type="spellStart"/>
      <w:r w:rsidRPr="006905CE">
        <w:rPr>
          <w:rFonts w:ascii="Calibri" w:cs="Calibri"/>
        </w:rPr>
        <w:t>Lapão</w:t>
      </w:r>
      <w:proofErr w:type="spellEnd"/>
      <w:r w:rsidRPr="006905CE">
        <w:rPr>
          <w:rFonts w:ascii="Calibri" w:cs="Calibri"/>
        </w:rPr>
        <w:t xml:space="preserve">, L. V. (2021). </w:t>
      </w:r>
      <w:proofErr w:type="spellStart"/>
      <w:r w:rsidRPr="006905CE">
        <w:rPr>
          <w:rFonts w:ascii="Calibri" w:cs="Calibri"/>
        </w:rPr>
        <w:t>eHealth</w:t>
      </w:r>
      <w:proofErr w:type="spellEnd"/>
      <w:r w:rsidRPr="006905CE">
        <w:rPr>
          <w:rFonts w:ascii="Calibri" w:cs="Calibri"/>
        </w:rPr>
        <w:t xml:space="preserve"> for </w:t>
      </w:r>
      <w:proofErr w:type="spellStart"/>
      <w:r w:rsidRPr="006905CE">
        <w:rPr>
          <w:rFonts w:ascii="Calibri" w:cs="Calibri"/>
        </w:rPr>
        <w:t>Addressing</w:t>
      </w:r>
      <w:proofErr w:type="spellEnd"/>
      <w:r w:rsidRPr="006905CE">
        <w:rPr>
          <w:rFonts w:ascii="Calibri" w:cs="Calibri"/>
        </w:rPr>
        <w:t xml:space="preserve"> Balance </w:t>
      </w:r>
      <w:proofErr w:type="spellStart"/>
      <w:r w:rsidRPr="006905CE">
        <w:rPr>
          <w:rFonts w:ascii="Calibri" w:cs="Calibri"/>
        </w:rPr>
        <w:t>Disorders</w:t>
      </w:r>
      <w:proofErr w:type="spellEnd"/>
      <w:r w:rsidRPr="006905CE">
        <w:rPr>
          <w:rFonts w:ascii="Calibri" w:cs="Calibri"/>
        </w:rPr>
        <w:t xml:space="preserve"> in the </w:t>
      </w:r>
      <w:proofErr w:type="spellStart"/>
      <w:r w:rsidRPr="006905CE">
        <w:rPr>
          <w:rFonts w:ascii="Calibri" w:cs="Calibri"/>
        </w:rPr>
        <w:t>Elderly</w:t>
      </w:r>
      <w:proofErr w:type="spellEnd"/>
      <w:r w:rsidRPr="006905CE">
        <w:rPr>
          <w:rFonts w:ascii="Calibri" w:cs="Calibri"/>
        </w:rPr>
        <w:t xml:space="preserve"> : </w:t>
      </w:r>
      <w:proofErr w:type="spellStart"/>
      <w:r w:rsidRPr="006905CE">
        <w:rPr>
          <w:rFonts w:ascii="Calibri" w:cs="Calibri"/>
        </w:rPr>
        <w:t>Systematic</w:t>
      </w:r>
      <w:proofErr w:type="spellEnd"/>
      <w:r w:rsidRPr="006905CE">
        <w:rPr>
          <w:rFonts w:ascii="Calibri" w:cs="Calibri"/>
        </w:rPr>
        <w:t xml:space="preserve"> </w:t>
      </w:r>
      <w:proofErr w:type="spellStart"/>
      <w:r w:rsidRPr="006905CE">
        <w:rPr>
          <w:rFonts w:ascii="Calibri" w:cs="Calibri"/>
        </w:rPr>
        <w:t>Review</w:t>
      </w:r>
      <w:proofErr w:type="spellEnd"/>
      <w:r w:rsidRPr="006905CE">
        <w:rPr>
          <w:rFonts w:ascii="Calibri" w:cs="Calibri"/>
        </w:rPr>
        <w:t xml:space="preserve">. </w:t>
      </w:r>
      <w:r w:rsidRPr="006905CE">
        <w:rPr>
          <w:rFonts w:ascii="Calibri" w:cs="Calibri"/>
          <w:i/>
          <w:iCs/>
        </w:rPr>
        <w:t xml:space="preserve">Journal of </w:t>
      </w:r>
      <w:proofErr w:type="spellStart"/>
      <w:r w:rsidRPr="006905CE">
        <w:rPr>
          <w:rFonts w:ascii="Calibri" w:cs="Calibri"/>
          <w:i/>
          <w:iCs/>
        </w:rPr>
        <w:t>Medical</w:t>
      </w:r>
      <w:proofErr w:type="spellEnd"/>
      <w:r w:rsidRPr="006905CE">
        <w:rPr>
          <w:rFonts w:ascii="Calibri" w:cs="Calibri"/>
          <w:i/>
          <w:iCs/>
        </w:rPr>
        <w:t xml:space="preserve"> Internet </w:t>
      </w:r>
      <w:proofErr w:type="spellStart"/>
      <w:r w:rsidRPr="006905CE">
        <w:rPr>
          <w:rFonts w:ascii="Calibri" w:cs="Calibri"/>
          <w:i/>
          <w:iCs/>
        </w:rPr>
        <w:t>Research</w:t>
      </w:r>
      <w:proofErr w:type="spellEnd"/>
      <w:r w:rsidRPr="006905CE">
        <w:rPr>
          <w:rFonts w:ascii="Calibri" w:cs="Calibri"/>
        </w:rPr>
        <w:t xml:space="preserve">, </w:t>
      </w:r>
      <w:r w:rsidRPr="006905CE">
        <w:rPr>
          <w:rFonts w:ascii="Calibri" w:cs="Calibri"/>
          <w:i/>
          <w:iCs/>
        </w:rPr>
        <w:t>23</w:t>
      </w:r>
      <w:r w:rsidRPr="006905CE">
        <w:rPr>
          <w:rFonts w:ascii="Calibri" w:cs="Calibri"/>
        </w:rPr>
        <w:t>(4), e22215. https://doi.org/10.2196/22215</w:t>
      </w:r>
    </w:p>
    <w:p w14:paraId="3073153A" w14:textId="77777777" w:rsidR="006905CE" w:rsidRPr="006905CE" w:rsidRDefault="006905CE" w:rsidP="006905CE">
      <w:pPr>
        <w:pStyle w:val="Bibliographie"/>
        <w:rPr>
          <w:rFonts w:ascii="Calibri" w:cs="Calibri"/>
        </w:rPr>
      </w:pPr>
      <w:r w:rsidRPr="006905CE">
        <w:rPr>
          <w:rFonts w:ascii="Calibri" w:cs="Calibri"/>
        </w:rPr>
        <w:t xml:space="preserve">Ghiglione, &amp; </w:t>
      </w:r>
      <w:proofErr w:type="spellStart"/>
      <w:r w:rsidRPr="006905CE">
        <w:rPr>
          <w:rFonts w:ascii="Calibri" w:cs="Calibri"/>
        </w:rPr>
        <w:t>Matalon</w:t>
      </w:r>
      <w:proofErr w:type="spellEnd"/>
      <w:r w:rsidRPr="006905CE">
        <w:rPr>
          <w:rFonts w:ascii="Calibri" w:cs="Calibri"/>
        </w:rPr>
        <w:t xml:space="preserve">. (1998). </w:t>
      </w:r>
      <w:r w:rsidRPr="006905CE">
        <w:rPr>
          <w:rFonts w:ascii="Calibri" w:cs="Calibri"/>
          <w:i/>
          <w:iCs/>
        </w:rPr>
        <w:t>Les enquêtes sociologiques</w:t>
      </w:r>
      <w:r w:rsidRPr="006905CE">
        <w:rPr>
          <w:rFonts w:ascii="Calibri" w:cs="Calibri"/>
        </w:rPr>
        <w:t>.</w:t>
      </w:r>
    </w:p>
    <w:p w14:paraId="4A02211F" w14:textId="77777777" w:rsidR="006905CE" w:rsidRPr="006905CE" w:rsidRDefault="006905CE" w:rsidP="006905CE">
      <w:pPr>
        <w:pStyle w:val="Bibliographie"/>
        <w:rPr>
          <w:rFonts w:ascii="Calibri" w:cs="Calibri"/>
        </w:rPr>
      </w:pPr>
      <w:r w:rsidRPr="006905CE">
        <w:rPr>
          <w:rFonts w:ascii="Calibri" w:cs="Calibri"/>
        </w:rPr>
        <w:t xml:space="preserve">Gonthier, R. (2014). Épidémiologie, morbidité, mortalité, coût pour la société et pour l’individu, principales causes de la chute. </w:t>
      </w:r>
      <w:r w:rsidRPr="006905CE">
        <w:rPr>
          <w:rFonts w:ascii="Calibri" w:cs="Calibri"/>
          <w:i/>
          <w:iCs/>
        </w:rPr>
        <w:t>Bulletin de l’Académie Nationale de Médecine</w:t>
      </w:r>
      <w:r w:rsidRPr="006905CE">
        <w:rPr>
          <w:rFonts w:ascii="Calibri" w:cs="Calibri"/>
        </w:rPr>
        <w:t xml:space="preserve">, </w:t>
      </w:r>
      <w:r w:rsidRPr="006905CE">
        <w:rPr>
          <w:rFonts w:ascii="Calibri" w:cs="Calibri"/>
          <w:i/>
          <w:iCs/>
        </w:rPr>
        <w:t>198</w:t>
      </w:r>
      <w:r w:rsidRPr="006905CE">
        <w:rPr>
          <w:rFonts w:ascii="Calibri" w:cs="Calibri"/>
        </w:rPr>
        <w:t>(6), 1025</w:t>
      </w:r>
      <w:r w:rsidRPr="006905CE">
        <w:rPr>
          <w:rFonts w:ascii="Cambria Math" w:hAnsi="Cambria Math" w:cs="Cambria Math"/>
        </w:rPr>
        <w:t>‑</w:t>
      </w:r>
      <w:r w:rsidRPr="006905CE">
        <w:rPr>
          <w:rFonts w:ascii="Calibri" w:cs="Calibri"/>
        </w:rPr>
        <w:t>1039. https://doi.org/10.1016/S0001-4079(19)31256-7</w:t>
      </w:r>
    </w:p>
    <w:p w14:paraId="4EBD6DF0" w14:textId="77777777" w:rsidR="006905CE" w:rsidRPr="006905CE" w:rsidRDefault="006905CE" w:rsidP="006905CE">
      <w:pPr>
        <w:pStyle w:val="Bibliographie"/>
        <w:rPr>
          <w:rFonts w:ascii="Calibri" w:cs="Calibri"/>
        </w:rPr>
      </w:pPr>
      <w:r w:rsidRPr="006905CE">
        <w:rPr>
          <w:rFonts w:ascii="Calibri" w:cs="Calibri"/>
        </w:rPr>
        <w:t xml:space="preserve">Guilbaud, A., Mailliez, A., &amp; Boulanger, É. (2020). Vieillissement—Une approche globale, multidimensionnelle et préventive. </w:t>
      </w:r>
      <w:proofErr w:type="gramStart"/>
      <w:r w:rsidRPr="006905CE">
        <w:rPr>
          <w:rFonts w:ascii="Calibri" w:cs="Calibri"/>
          <w:i/>
          <w:iCs/>
        </w:rPr>
        <w:t>médecine</w:t>
      </w:r>
      <w:proofErr w:type="gramEnd"/>
      <w:r w:rsidRPr="006905CE">
        <w:rPr>
          <w:rFonts w:ascii="Calibri" w:cs="Calibri"/>
          <w:i/>
          <w:iCs/>
        </w:rPr>
        <w:t>/sciences</w:t>
      </w:r>
      <w:r w:rsidRPr="006905CE">
        <w:rPr>
          <w:rFonts w:ascii="Calibri" w:cs="Calibri"/>
        </w:rPr>
        <w:t xml:space="preserve">, </w:t>
      </w:r>
      <w:r w:rsidRPr="006905CE">
        <w:rPr>
          <w:rFonts w:ascii="Calibri" w:cs="Calibri"/>
          <w:i/>
          <w:iCs/>
        </w:rPr>
        <w:t>36</w:t>
      </w:r>
      <w:r w:rsidRPr="006905CE">
        <w:rPr>
          <w:rFonts w:ascii="Calibri" w:cs="Calibri"/>
        </w:rPr>
        <w:t>(12), Article 12. https://doi.org/10.1051/medsci/2020224</w:t>
      </w:r>
    </w:p>
    <w:p w14:paraId="542F7B8F" w14:textId="77777777" w:rsidR="006905CE" w:rsidRPr="006905CE" w:rsidRDefault="006905CE" w:rsidP="006905CE">
      <w:pPr>
        <w:pStyle w:val="Bibliographie"/>
        <w:rPr>
          <w:rFonts w:ascii="Calibri" w:cs="Calibri"/>
        </w:rPr>
      </w:pPr>
      <w:r w:rsidRPr="006905CE">
        <w:rPr>
          <w:rFonts w:ascii="Calibri" w:cs="Calibri"/>
        </w:rPr>
        <w:t xml:space="preserve">Guillermain, C. (2022). </w:t>
      </w:r>
      <w:r w:rsidRPr="006905CE">
        <w:rPr>
          <w:rFonts w:ascii="Calibri" w:cs="Calibri"/>
          <w:i/>
          <w:iCs/>
        </w:rPr>
        <w:t>Le vieillissement humain : Penser un phénomène physiologique à la lumière de la biologie contemporaine</w:t>
      </w:r>
      <w:r w:rsidRPr="006905CE">
        <w:rPr>
          <w:rFonts w:ascii="Calibri" w:cs="Calibri"/>
        </w:rPr>
        <w:t>.</w:t>
      </w:r>
    </w:p>
    <w:p w14:paraId="3CA401F4" w14:textId="77777777" w:rsidR="006905CE" w:rsidRPr="006905CE" w:rsidRDefault="006905CE" w:rsidP="006905CE">
      <w:pPr>
        <w:pStyle w:val="Bibliographie"/>
        <w:rPr>
          <w:rFonts w:ascii="Calibri" w:cs="Calibri"/>
        </w:rPr>
      </w:pPr>
      <w:r w:rsidRPr="006905CE">
        <w:rPr>
          <w:rFonts w:ascii="Calibri" w:cs="Calibri"/>
        </w:rPr>
        <w:t xml:space="preserve">Gunn, H., &amp; </w:t>
      </w:r>
      <w:proofErr w:type="spellStart"/>
      <w:r w:rsidRPr="006905CE">
        <w:rPr>
          <w:rFonts w:ascii="Calibri" w:cs="Calibri"/>
        </w:rPr>
        <w:t>Goding</w:t>
      </w:r>
      <w:proofErr w:type="spellEnd"/>
      <w:r w:rsidRPr="006905CE">
        <w:rPr>
          <w:rFonts w:ascii="Calibri" w:cs="Calibri"/>
        </w:rPr>
        <w:t xml:space="preserve">, L. (2009). </w:t>
      </w:r>
      <w:proofErr w:type="spellStart"/>
      <w:r w:rsidRPr="006905CE">
        <w:rPr>
          <w:rFonts w:ascii="Calibri" w:cs="Calibri"/>
        </w:rPr>
        <w:t>Continuing</w:t>
      </w:r>
      <w:proofErr w:type="spellEnd"/>
      <w:r w:rsidRPr="006905CE">
        <w:rPr>
          <w:rFonts w:ascii="Calibri" w:cs="Calibri"/>
        </w:rPr>
        <w:t xml:space="preserve"> Professional </w:t>
      </w:r>
      <w:proofErr w:type="spellStart"/>
      <w:r w:rsidRPr="006905CE">
        <w:rPr>
          <w:rFonts w:ascii="Calibri" w:cs="Calibri"/>
        </w:rPr>
        <w:t>Development</w:t>
      </w:r>
      <w:proofErr w:type="spellEnd"/>
      <w:r w:rsidRPr="006905CE">
        <w:rPr>
          <w:rFonts w:ascii="Calibri" w:cs="Calibri"/>
        </w:rPr>
        <w:t xml:space="preserve"> of </w:t>
      </w:r>
      <w:proofErr w:type="spellStart"/>
      <w:r w:rsidRPr="006905CE">
        <w:rPr>
          <w:rFonts w:ascii="Calibri" w:cs="Calibri"/>
        </w:rPr>
        <w:t>physiotherapists</w:t>
      </w:r>
      <w:proofErr w:type="spellEnd"/>
      <w:r w:rsidRPr="006905CE">
        <w:rPr>
          <w:rFonts w:ascii="Calibri" w:cs="Calibri"/>
        </w:rPr>
        <w:t xml:space="preserve"> </w:t>
      </w:r>
      <w:proofErr w:type="spellStart"/>
      <w:r w:rsidRPr="006905CE">
        <w:rPr>
          <w:rFonts w:ascii="Calibri" w:cs="Calibri"/>
        </w:rPr>
        <w:t>based</w:t>
      </w:r>
      <w:proofErr w:type="spellEnd"/>
      <w:r w:rsidRPr="006905CE">
        <w:rPr>
          <w:rFonts w:ascii="Calibri" w:cs="Calibri"/>
        </w:rPr>
        <w:t xml:space="preserve"> in </w:t>
      </w:r>
      <w:proofErr w:type="spellStart"/>
      <w:r w:rsidRPr="006905CE">
        <w:rPr>
          <w:rFonts w:ascii="Calibri" w:cs="Calibri"/>
        </w:rPr>
        <w:t>community</w:t>
      </w:r>
      <w:proofErr w:type="spellEnd"/>
      <w:r w:rsidRPr="006905CE">
        <w:rPr>
          <w:rFonts w:ascii="Calibri" w:cs="Calibri"/>
        </w:rPr>
        <w:t xml:space="preserve"> </w:t>
      </w:r>
      <w:proofErr w:type="spellStart"/>
      <w:r w:rsidRPr="006905CE">
        <w:rPr>
          <w:rFonts w:ascii="Calibri" w:cs="Calibri"/>
        </w:rPr>
        <w:t>primary</w:t>
      </w:r>
      <w:proofErr w:type="spellEnd"/>
      <w:r w:rsidRPr="006905CE">
        <w:rPr>
          <w:rFonts w:ascii="Calibri" w:cs="Calibri"/>
        </w:rPr>
        <w:t xml:space="preserve"> care trusts : A qualitative </w:t>
      </w:r>
      <w:proofErr w:type="spellStart"/>
      <w:r w:rsidRPr="006905CE">
        <w:rPr>
          <w:rFonts w:ascii="Calibri" w:cs="Calibri"/>
        </w:rPr>
        <w:t>study</w:t>
      </w:r>
      <w:proofErr w:type="spellEnd"/>
      <w:r w:rsidRPr="006905CE">
        <w:rPr>
          <w:rFonts w:ascii="Calibri" w:cs="Calibri"/>
        </w:rPr>
        <w:t xml:space="preserve"> </w:t>
      </w:r>
      <w:proofErr w:type="spellStart"/>
      <w:r w:rsidRPr="006905CE">
        <w:rPr>
          <w:rFonts w:ascii="Calibri" w:cs="Calibri"/>
        </w:rPr>
        <w:t>investigating</w:t>
      </w:r>
      <w:proofErr w:type="spellEnd"/>
      <w:r w:rsidRPr="006905CE">
        <w:rPr>
          <w:rFonts w:ascii="Calibri" w:cs="Calibri"/>
        </w:rPr>
        <w:t xml:space="preserve"> perceptions, </w:t>
      </w:r>
      <w:proofErr w:type="spellStart"/>
      <w:r w:rsidRPr="006905CE">
        <w:rPr>
          <w:rFonts w:ascii="Calibri" w:cs="Calibri"/>
        </w:rPr>
        <w:t>experiences</w:t>
      </w:r>
      <w:proofErr w:type="spellEnd"/>
      <w:r w:rsidRPr="006905CE">
        <w:rPr>
          <w:rFonts w:ascii="Calibri" w:cs="Calibri"/>
        </w:rPr>
        <w:t xml:space="preserve"> and </w:t>
      </w:r>
      <w:proofErr w:type="spellStart"/>
      <w:r w:rsidRPr="006905CE">
        <w:rPr>
          <w:rFonts w:ascii="Calibri" w:cs="Calibri"/>
        </w:rPr>
        <w:t>outcomes</w:t>
      </w:r>
      <w:proofErr w:type="spellEnd"/>
      <w:r w:rsidRPr="006905CE">
        <w:rPr>
          <w:rFonts w:ascii="Calibri" w:cs="Calibri"/>
        </w:rPr>
        <w:t xml:space="preserve">. </w:t>
      </w:r>
      <w:proofErr w:type="spellStart"/>
      <w:r w:rsidRPr="006905CE">
        <w:rPr>
          <w:rFonts w:ascii="Calibri" w:cs="Calibri"/>
          <w:i/>
          <w:iCs/>
        </w:rPr>
        <w:t>Physiotherapy</w:t>
      </w:r>
      <w:proofErr w:type="spellEnd"/>
      <w:r w:rsidRPr="006905CE">
        <w:rPr>
          <w:rFonts w:ascii="Calibri" w:cs="Calibri"/>
        </w:rPr>
        <w:t xml:space="preserve">, </w:t>
      </w:r>
      <w:r w:rsidRPr="006905CE">
        <w:rPr>
          <w:rFonts w:ascii="Calibri" w:cs="Calibri"/>
          <w:i/>
          <w:iCs/>
        </w:rPr>
        <w:t>95</w:t>
      </w:r>
      <w:r w:rsidRPr="006905CE">
        <w:rPr>
          <w:rFonts w:ascii="Calibri" w:cs="Calibri"/>
        </w:rPr>
        <w:t>(3), 210</w:t>
      </w:r>
      <w:r w:rsidRPr="006905CE">
        <w:rPr>
          <w:rFonts w:ascii="Cambria Math" w:hAnsi="Cambria Math" w:cs="Cambria Math"/>
        </w:rPr>
        <w:t>‑</w:t>
      </w:r>
      <w:r w:rsidRPr="006905CE">
        <w:rPr>
          <w:rFonts w:ascii="Calibri" w:cs="Calibri"/>
        </w:rPr>
        <w:t>215. https://doi.org/10.1016/j.physio.2007.09.003</w:t>
      </w:r>
    </w:p>
    <w:p w14:paraId="7AEBC1C8" w14:textId="77777777" w:rsidR="006905CE" w:rsidRPr="006905CE" w:rsidRDefault="006905CE" w:rsidP="006905CE">
      <w:pPr>
        <w:pStyle w:val="Bibliographie"/>
        <w:rPr>
          <w:rFonts w:ascii="Calibri" w:cs="Calibri"/>
        </w:rPr>
      </w:pPr>
      <w:proofErr w:type="spellStart"/>
      <w:r w:rsidRPr="006905CE">
        <w:rPr>
          <w:rFonts w:ascii="Calibri" w:cs="Calibri"/>
        </w:rPr>
        <w:lastRenderedPageBreak/>
        <w:t>Horak</w:t>
      </w:r>
      <w:proofErr w:type="spellEnd"/>
      <w:r w:rsidRPr="006905CE">
        <w:rPr>
          <w:rFonts w:ascii="Calibri" w:cs="Calibri"/>
        </w:rPr>
        <w:t xml:space="preserve">, F. B. (2006). Postural orientation and </w:t>
      </w:r>
      <w:proofErr w:type="spellStart"/>
      <w:r w:rsidRPr="006905CE">
        <w:rPr>
          <w:rFonts w:ascii="Calibri" w:cs="Calibri"/>
        </w:rPr>
        <w:t>equilibrium</w:t>
      </w:r>
      <w:proofErr w:type="spellEnd"/>
      <w:r w:rsidRPr="006905CE">
        <w:rPr>
          <w:rFonts w:ascii="Calibri" w:cs="Calibri"/>
        </w:rPr>
        <w:t xml:space="preserve"> : </w:t>
      </w:r>
      <w:proofErr w:type="spellStart"/>
      <w:r w:rsidRPr="006905CE">
        <w:rPr>
          <w:rFonts w:ascii="Calibri" w:cs="Calibri"/>
        </w:rPr>
        <w:t>What</w:t>
      </w:r>
      <w:proofErr w:type="spellEnd"/>
      <w:r w:rsidRPr="006905CE">
        <w:rPr>
          <w:rFonts w:ascii="Calibri" w:cs="Calibri"/>
        </w:rPr>
        <w:t xml:space="preserve"> do </w:t>
      </w:r>
      <w:proofErr w:type="spellStart"/>
      <w:r w:rsidRPr="006905CE">
        <w:rPr>
          <w:rFonts w:ascii="Calibri" w:cs="Calibri"/>
        </w:rPr>
        <w:t>we</w:t>
      </w:r>
      <w:proofErr w:type="spellEnd"/>
      <w:r w:rsidRPr="006905CE">
        <w:rPr>
          <w:rFonts w:ascii="Calibri" w:cs="Calibri"/>
        </w:rPr>
        <w:t xml:space="preserve"> </w:t>
      </w:r>
      <w:proofErr w:type="spellStart"/>
      <w:r w:rsidRPr="006905CE">
        <w:rPr>
          <w:rFonts w:ascii="Calibri" w:cs="Calibri"/>
        </w:rPr>
        <w:t>need</w:t>
      </w:r>
      <w:proofErr w:type="spellEnd"/>
      <w:r w:rsidRPr="006905CE">
        <w:rPr>
          <w:rFonts w:ascii="Calibri" w:cs="Calibri"/>
        </w:rPr>
        <w:t xml:space="preserve"> to know about neural control of balance to </w:t>
      </w:r>
      <w:proofErr w:type="spellStart"/>
      <w:r w:rsidRPr="006905CE">
        <w:rPr>
          <w:rFonts w:ascii="Calibri" w:cs="Calibri"/>
        </w:rPr>
        <w:t>prevent</w:t>
      </w:r>
      <w:proofErr w:type="spellEnd"/>
      <w:r w:rsidRPr="006905CE">
        <w:rPr>
          <w:rFonts w:ascii="Calibri" w:cs="Calibri"/>
        </w:rPr>
        <w:t xml:space="preserve"> </w:t>
      </w:r>
      <w:proofErr w:type="spellStart"/>
      <w:proofErr w:type="gramStart"/>
      <w:r w:rsidRPr="006905CE">
        <w:rPr>
          <w:rFonts w:ascii="Calibri" w:cs="Calibri"/>
        </w:rPr>
        <w:t>falls</w:t>
      </w:r>
      <w:proofErr w:type="spellEnd"/>
      <w:r w:rsidRPr="006905CE">
        <w:rPr>
          <w:rFonts w:ascii="Calibri" w:cs="Calibri"/>
        </w:rPr>
        <w:t>?</w:t>
      </w:r>
      <w:proofErr w:type="gramEnd"/>
      <w:r w:rsidRPr="006905CE">
        <w:rPr>
          <w:rFonts w:ascii="Calibri" w:cs="Calibri"/>
        </w:rPr>
        <w:t xml:space="preserve"> </w:t>
      </w:r>
      <w:r w:rsidRPr="006905CE">
        <w:rPr>
          <w:rFonts w:ascii="Calibri" w:cs="Calibri"/>
          <w:i/>
          <w:iCs/>
        </w:rPr>
        <w:t xml:space="preserve">Age and </w:t>
      </w:r>
      <w:proofErr w:type="spellStart"/>
      <w:r w:rsidRPr="006905CE">
        <w:rPr>
          <w:rFonts w:ascii="Calibri" w:cs="Calibri"/>
          <w:i/>
          <w:iCs/>
        </w:rPr>
        <w:t>Ageing</w:t>
      </w:r>
      <w:proofErr w:type="spellEnd"/>
      <w:r w:rsidRPr="006905CE">
        <w:rPr>
          <w:rFonts w:ascii="Calibri" w:cs="Calibri"/>
        </w:rPr>
        <w:t xml:space="preserve">, </w:t>
      </w:r>
      <w:r w:rsidRPr="006905CE">
        <w:rPr>
          <w:rFonts w:ascii="Calibri" w:cs="Calibri"/>
          <w:i/>
          <w:iCs/>
        </w:rPr>
        <w:t>35</w:t>
      </w:r>
      <w:r w:rsidRPr="006905CE">
        <w:rPr>
          <w:rFonts w:ascii="Calibri" w:cs="Calibri"/>
        </w:rPr>
        <w:t>(suppl_2), ii7</w:t>
      </w:r>
      <w:r w:rsidRPr="006905CE">
        <w:rPr>
          <w:rFonts w:ascii="Cambria Math" w:hAnsi="Cambria Math" w:cs="Cambria Math"/>
        </w:rPr>
        <w:t>‑</w:t>
      </w:r>
      <w:r w:rsidRPr="006905CE">
        <w:rPr>
          <w:rFonts w:ascii="Calibri" w:cs="Calibri"/>
        </w:rPr>
        <w:t>ii11. https://doi.org/10.1093/ageing/afl077</w:t>
      </w:r>
    </w:p>
    <w:p w14:paraId="4176152F" w14:textId="77777777" w:rsidR="006905CE" w:rsidRPr="006905CE" w:rsidRDefault="006905CE" w:rsidP="006905CE">
      <w:pPr>
        <w:pStyle w:val="Bibliographie"/>
        <w:rPr>
          <w:rFonts w:ascii="Calibri" w:cs="Calibri"/>
        </w:rPr>
      </w:pPr>
      <w:proofErr w:type="spellStart"/>
      <w:r w:rsidRPr="006905CE">
        <w:rPr>
          <w:rFonts w:ascii="Calibri" w:cs="Calibri"/>
        </w:rPr>
        <w:t>Horak</w:t>
      </w:r>
      <w:proofErr w:type="spellEnd"/>
      <w:r w:rsidRPr="006905CE">
        <w:rPr>
          <w:rFonts w:ascii="Calibri" w:cs="Calibri"/>
        </w:rPr>
        <w:t xml:space="preserve">, F. B., </w:t>
      </w:r>
      <w:proofErr w:type="spellStart"/>
      <w:r w:rsidRPr="006905CE">
        <w:rPr>
          <w:rFonts w:ascii="Calibri" w:cs="Calibri"/>
        </w:rPr>
        <w:t>Wrisley</w:t>
      </w:r>
      <w:proofErr w:type="spellEnd"/>
      <w:r w:rsidRPr="006905CE">
        <w:rPr>
          <w:rFonts w:ascii="Calibri" w:cs="Calibri"/>
        </w:rPr>
        <w:t xml:space="preserve">, D. M., &amp; Frank, J. (2009). The Balance </w:t>
      </w:r>
      <w:proofErr w:type="spellStart"/>
      <w:r w:rsidRPr="006905CE">
        <w:rPr>
          <w:rFonts w:ascii="Calibri" w:cs="Calibri"/>
        </w:rPr>
        <w:t>Evaluation</w:t>
      </w:r>
      <w:proofErr w:type="spellEnd"/>
      <w:r w:rsidRPr="006905CE">
        <w:rPr>
          <w:rFonts w:ascii="Calibri" w:cs="Calibri"/>
        </w:rPr>
        <w:t xml:space="preserve"> </w:t>
      </w:r>
      <w:proofErr w:type="spellStart"/>
      <w:r w:rsidRPr="006905CE">
        <w:rPr>
          <w:rFonts w:ascii="Calibri" w:cs="Calibri"/>
        </w:rPr>
        <w:t>Systems</w:t>
      </w:r>
      <w:proofErr w:type="spellEnd"/>
      <w:r w:rsidRPr="006905CE">
        <w:rPr>
          <w:rFonts w:ascii="Calibri" w:cs="Calibri"/>
        </w:rPr>
        <w:t xml:space="preserve"> Test (</w:t>
      </w:r>
      <w:proofErr w:type="spellStart"/>
      <w:r w:rsidRPr="006905CE">
        <w:rPr>
          <w:rFonts w:ascii="Calibri" w:cs="Calibri"/>
        </w:rPr>
        <w:t>BESTest</w:t>
      </w:r>
      <w:proofErr w:type="spellEnd"/>
      <w:r w:rsidRPr="006905CE">
        <w:rPr>
          <w:rFonts w:ascii="Calibri" w:cs="Calibri"/>
        </w:rPr>
        <w:t xml:space="preserve">) to </w:t>
      </w:r>
      <w:proofErr w:type="spellStart"/>
      <w:r w:rsidRPr="006905CE">
        <w:rPr>
          <w:rFonts w:ascii="Calibri" w:cs="Calibri"/>
        </w:rPr>
        <w:t>Differentiate</w:t>
      </w:r>
      <w:proofErr w:type="spellEnd"/>
      <w:r w:rsidRPr="006905CE">
        <w:rPr>
          <w:rFonts w:ascii="Calibri" w:cs="Calibri"/>
        </w:rPr>
        <w:t xml:space="preserve"> Balance </w:t>
      </w:r>
      <w:proofErr w:type="spellStart"/>
      <w:r w:rsidRPr="006905CE">
        <w:rPr>
          <w:rFonts w:ascii="Calibri" w:cs="Calibri"/>
        </w:rPr>
        <w:t>Deficits</w:t>
      </w:r>
      <w:proofErr w:type="spellEnd"/>
      <w:r w:rsidRPr="006905CE">
        <w:rPr>
          <w:rFonts w:ascii="Calibri" w:cs="Calibri"/>
        </w:rPr>
        <w:t xml:space="preserve">. </w:t>
      </w:r>
      <w:r w:rsidRPr="006905CE">
        <w:rPr>
          <w:rFonts w:ascii="Calibri" w:cs="Calibri"/>
          <w:i/>
          <w:iCs/>
        </w:rPr>
        <w:t xml:space="preserve">Physical </w:t>
      </w:r>
      <w:proofErr w:type="spellStart"/>
      <w:r w:rsidRPr="006905CE">
        <w:rPr>
          <w:rFonts w:ascii="Calibri" w:cs="Calibri"/>
          <w:i/>
          <w:iCs/>
        </w:rPr>
        <w:t>Therapy</w:t>
      </w:r>
      <w:proofErr w:type="spellEnd"/>
      <w:r w:rsidRPr="006905CE">
        <w:rPr>
          <w:rFonts w:ascii="Calibri" w:cs="Calibri"/>
        </w:rPr>
        <w:t xml:space="preserve">, </w:t>
      </w:r>
      <w:r w:rsidRPr="006905CE">
        <w:rPr>
          <w:rFonts w:ascii="Calibri" w:cs="Calibri"/>
          <w:i/>
          <w:iCs/>
        </w:rPr>
        <w:t>89</w:t>
      </w:r>
      <w:r w:rsidRPr="006905CE">
        <w:rPr>
          <w:rFonts w:ascii="Calibri" w:cs="Calibri"/>
        </w:rPr>
        <w:t>(5), 484</w:t>
      </w:r>
      <w:r w:rsidRPr="006905CE">
        <w:rPr>
          <w:rFonts w:ascii="Cambria Math" w:hAnsi="Cambria Math" w:cs="Cambria Math"/>
        </w:rPr>
        <w:t>‑</w:t>
      </w:r>
      <w:r w:rsidRPr="006905CE">
        <w:rPr>
          <w:rFonts w:ascii="Calibri" w:cs="Calibri"/>
        </w:rPr>
        <w:t>498. https://doi.org/10.2522/ptj.20080071</w:t>
      </w:r>
    </w:p>
    <w:p w14:paraId="6A178BC1" w14:textId="77777777" w:rsidR="006905CE" w:rsidRPr="006905CE" w:rsidRDefault="006905CE" w:rsidP="006905CE">
      <w:pPr>
        <w:pStyle w:val="Bibliographie"/>
        <w:rPr>
          <w:rFonts w:ascii="Calibri" w:cs="Calibri"/>
        </w:rPr>
      </w:pPr>
      <w:r w:rsidRPr="006905CE">
        <w:rPr>
          <w:rFonts w:ascii="Calibri" w:cs="Calibri"/>
        </w:rPr>
        <w:t>Innocent-</w:t>
      </w:r>
      <w:proofErr w:type="spellStart"/>
      <w:r w:rsidRPr="006905CE">
        <w:rPr>
          <w:rFonts w:ascii="Calibri" w:cs="Calibri"/>
        </w:rPr>
        <w:t>Mutel</w:t>
      </w:r>
      <w:proofErr w:type="spellEnd"/>
      <w:r w:rsidRPr="006905CE">
        <w:rPr>
          <w:rFonts w:ascii="Calibri" w:cs="Calibri"/>
        </w:rPr>
        <w:t xml:space="preserve">, D., &amp; Ponton, G. (2015). Chapitre 28. La prévention de la chute. In </w:t>
      </w:r>
      <w:r w:rsidRPr="006905CE">
        <w:rPr>
          <w:rFonts w:ascii="Calibri" w:cs="Calibri"/>
          <w:i/>
          <w:iCs/>
        </w:rPr>
        <w:t>Manuel d’enseignement de psychomotricité</w:t>
      </w:r>
      <w:r w:rsidRPr="006905CE">
        <w:rPr>
          <w:rFonts w:ascii="Calibri" w:cs="Calibri"/>
        </w:rPr>
        <w:t xml:space="preserve"> (p. 387</w:t>
      </w:r>
      <w:r w:rsidRPr="006905CE">
        <w:rPr>
          <w:rFonts w:ascii="Cambria Math" w:hAnsi="Cambria Math" w:cs="Cambria Math"/>
        </w:rPr>
        <w:t>‑</w:t>
      </w:r>
      <w:r w:rsidRPr="006905CE">
        <w:rPr>
          <w:rFonts w:ascii="Calibri" w:cs="Calibri"/>
        </w:rPr>
        <w:t>404). De Boeck Supérieur. https://doi.org/10.3917/dbu.albar.2015.01.0387</w:t>
      </w:r>
    </w:p>
    <w:p w14:paraId="24596998" w14:textId="77777777" w:rsidR="006905CE" w:rsidRPr="006905CE" w:rsidRDefault="006905CE" w:rsidP="006905CE">
      <w:pPr>
        <w:pStyle w:val="Bibliographie"/>
        <w:rPr>
          <w:rFonts w:ascii="Calibri" w:cs="Calibri"/>
        </w:rPr>
      </w:pPr>
      <w:r w:rsidRPr="006905CE">
        <w:rPr>
          <w:rFonts w:ascii="Calibri" w:cs="Calibri"/>
        </w:rPr>
        <w:t xml:space="preserve">Ishii, K. (2013). La prise en charge des personnes âgées dépendantes à domicile en France et au Japon : Quelles différences ? </w:t>
      </w:r>
      <w:r w:rsidRPr="006905CE">
        <w:rPr>
          <w:rFonts w:ascii="Calibri" w:cs="Calibri"/>
          <w:i/>
          <w:iCs/>
        </w:rPr>
        <w:t>La Revue de l’Ires</w:t>
      </w:r>
      <w:r w:rsidRPr="006905CE">
        <w:rPr>
          <w:rFonts w:ascii="Calibri" w:cs="Calibri"/>
        </w:rPr>
        <w:t xml:space="preserve">, </w:t>
      </w:r>
      <w:r w:rsidRPr="006905CE">
        <w:rPr>
          <w:rFonts w:ascii="Calibri" w:cs="Calibri"/>
          <w:i/>
          <w:iCs/>
        </w:rPr>
        <w:t>79</w:t>
      </w:r>
      <w:r w:rsidRPr="006905CE">
        <w:rPr>
          <w:rFonts w:ascii="Calibri" w:cs="Calibri"/>
        </w:rPr>
        <w:t>(4), 3</w:t>
      </w:r>
      <w:r w:rsidRPr="006905CE">
        <w:rPr>
          <w:rFonts w:ascii="Cambria Math" w:hAnsi="Cambria Math" w:cs="Cambria Math"/>
        </w:rPr>
        <w:t>‑</w:t>
      </w:r>
      <w:r w:rsidRPr="006905CE">
        <w:rPr>
          <w:rFonts w:ascii="Calibri" w:cs="Calibri"/>
        </w:rPr>
        <w:t>33. https://doi.org/10.3917/rdli.079.0003</w:t>
      </w:r>
    </w:p>
    <w:p w14:paraId="1534B713" w14:textId="77777777" w:rsidR="006905CE" w:rsidRPr="006905CE" w:rsidRDefault="006905CE" w:rsidP="006905CE">
      <w:pPr>
        <w:pStyle w:val="Bibliographie"/>
        <w:rPr>
          <w:rFonts w:ascii="Calibri" w:cs="Calibri"/>
        </w:rPr>
      </w:pPr>
      <w:r w:rsidRPr="006905CE">
        <w:rPr>
          <w:rFonts w:ascii="Calibri" w:cs="Calibri"/>
        </w:rPr>
        <w:t xml:space="preserve">Jacobson, G. P., Shepard, N. T., Barin, K., </w:t>
      </w:r>
      <w:proofErr w:type="spellStart"/>
      <w:r w:rsidRPr="006905CE">
        <w:rPr>
          <w:rFonts w:ascii="Calibri" w:cs="Calibri"/>
        </w:rPr>
        <w:t>Janky</w:t>
      </w:r>
      <w:proofErr w:type="spellEnd"/>
      <w:r w:rsidRPr="006905CE">
        <w:rPr>
          <w:rFonts w:ascii="Calibri" w:cs="Calibri"/>
        </w:rPr>
        <w:t xml:space="preserve">, K., &amp; </w:t>
      </w:r>
      <w:proofErr w:type="spellStart"/>
      <w:r w:rsidRPr="006905CE">
        <w:rPr>
          <w:rFonts w:ascii="Calibri" w:cs="Calibri"/>
        </w:rPr>
        <w:t>McCaslin</w:t>
      </w:r>
      <w:proofErr w:type="spellEnd"/>
      <w:r w:rsidRPr="006905CE">
        <w:rPr>
          <w:rFonts w:ascii="Calibri" w:cs="Calibri"/>
        </w:rPr>
        <w:t xml:space="preserve">, D. L. (2020). </w:t>
      </w:r>
      <w:r w:rsidRPr="006905CE">
        <w:rPr>
          <w:rFonts w:ascii="Calibri" w:cs="Calibri"/>
          <w:i/>
          <w:iCs/>
        </w:rPr>
        <w:t xml:space="preserve">Balance </w:t>
      </w:r>
      <w:proofErr w:type="spellStart"/>
      <w:r w:rsidRPr="006905CE">
        <w:rPr>
          <w:rFonts w:ascii="Calibri" w:cs="Calibri"/>
          <w:i/>
          <w:iCs/>
        </w:rPr>
        <w:t>Function</w:t>
      </w:r>
      <w:proofErr w:type="spellEnd"/>
      <w:r w:rsidRPr="006905CE">
        <w:rPr>
          <w:rFonts w:ascii="Calibri" w:cs="Calibri"/>
          <w:i/>
          <w:iCs/>
        </w:rPr>
        <w:t xml:space="preserve"> </w:t>
      </w:r>
      <w:proofErr w:type="spellStart"/>
      <w:r w:rsidRPr="006905CE">
        <w:rPr>
          <w:rFonts w:ascii="Calibri" w:cs="Calibri"/>
          <w:i/>
          <w:iCs/>
        </w:rPr>
        <w:t>Assessment</w:t>
      </w:r>
      <w:proofErr w:type="spellEnd"/>
      <w:r w:rsidRPr="006905CE">
        <w:rPr>
          <w:rFonts w:ascii="Calibri" w:cs="Calibri"/>
          <w:i/>
          <w:iCs/>
        </w:rPr>
        <w:t xml:space="preserve"> and Management, </w:t>
      </w:r>
      <w:proofErr w:type="spellStart"/>
      <w:r w:rsidRPr="006905CE">
        <w:rPr>
          <w:rFonts w:ascii="Calibri" w:cs="Calibri"/>
          <w:i/>
          <w:iCs/>
        </w:rPr>
        <w:t>Third</w:t>
      </w:r>
      <w:proofErr w:type="spellEnd"/>
      <w:r w:rsidRPr="006905CE">
        <w:rPr>
          <w:rFonts w:ascii="Calibri" w:cs="Calibri"/>
          <w:i/>
          <w:iCs/>
        </w:rPr>
        <w:t xml:space="preserve"> Edition</w:t>
      </w:r>
      <w:r w:rsidRPr="006905CE">
        <w:rPr>
          <w:rFonts w:ascii="Calibri" w:cs="Calibri"/>
        </w:rPr>
        <w:t xml:space="preserve">. Plural </w:t>
      </w:r>
      <w:proofErr w:type="spellStart"/>
      <w:r w:rsidRPr="006905CE">
        <w:rPr>
          <w:rFonts w:ascii="Calibri" w:cs="Calibri"/>
        </w:rPr>
        <w:t>Publishing</w:t>
      </w:r>
      <w:proofErr w:type="spellEnd"/>
      <w:r w:rsidRPr="006905CE">
        <w:rPr>
          <w:rFonts w:ascii="Calibri" w:cs="Calibri"/>
        </w:rPr>
        <w:t>.</w:t>
      </w:r>
    </w:p>
    <w:p w14:paraId="226018FD" w14:textId="77777777" w:rsidR="006905CE" w:rsidRPr="006905CE" w:rsidRDefault="006905CE" w:rsidP="006905CE">
      <w:pPr>
        <w:pStyle w:val="Bibliographie"/>
        <w:rPr>
          <w:rFonts w:ascii="Calibri" w:cs="Calibri"/>
        </w:rPr>
      </w:pPr>
      <w:proofErr w:type="spellStart"/>
      <w:r w:rsidRPr="006905CE">
        <w:rPr>
          <w:rFonts w:ascii="Calibri" w:cs="Calibri"/>
        </w:rPr>
        <w:t>Jeandel</w:t>
      </w:r>
      <w:proofErr w:type="spellEnd"/>
      <w:r w:rsidRPr="006905CE">
        <w:rPr>
          <w:rFonts w:ascii="Calibri" w:cs="Calibri"/>
        </w:rPr>
        <w:t xml:space="preserve">, C. (2005). Les différents parcours du vieillissement. </w:t>
      </w:r>
      <w:r w:rsidRPr="006905CE">
        <w:rPr>
          <w:rFonts w:ascii="Calibri" w:cs="Calibri"/>
          <w:i/>
          <w:iCs/>
        </w:rPr>
        <w:t>Les Tribunes de la santé</w:t>
      </w:r>
      <w:r w:rsidRPr="006905CE">
        <w:rPr>
          <w:rFonts w:ascii="Calibri" w:cs="Calibri"/>
        </w:rPr>
        <w:t xml:space="preserve">, </w:t>
      </w:r>
      <w:r w:rsidRPr="006905CE">
        <w:rPr>
          <w:rFonts w:ascii="Calibri" w:cs="Calibri"/>
          <w:i/>
          <w:iCs/>
        </w:rPr>
        <w:t>7</w:t>
      </w:r>
      <w:r w:rsidRPr="006905CE">
        <w:rPr>
          <w:rFonts w:ascii="Calibri" w:cs="Calibri"/>
        </w:rPr>
        <w:t>(2), 25</w:t>
      </w:r>
      <w:r w:rsidRPr="006905CE">
        <w:rPr>
          <w:rFonts w:ascii="Cambria Math" w:hAnsi="Cambria Math" w:cs="Cambria Math"/>
        </w:rPr>
        <w:t>‑</w:t>
      </w:r>
      <w:r w:rsidRPr="006905CE">
        <w:rPr>
          <w:rFonts w:ascii="Calibri" w:cs="Calibri"/>
        </w:rPr>
        <w:t>35. https://doi.org/10.3917/seve.007.35</w:t>
      </w:r>
    </w:p>
    <w:p w14:paraId="5BAB6784" w14:textId="77777777" w:rsidR="006905CE" w:rsidRPr="006905CE" w:rsidRDefault="006905CE" w:rsidP="006905CE">
      <w:pPr>
        <w:pStyle w:val="Bibliographie"/>
        <w:rPr>
          <w:rFonts w:ascii="Calibri" w:cs="Calibri"/>
        </w:rPr>
      </w:pPr>
      <w:proofErr w:type="spellStart"/>
      <w:r w:rsidRPr="006905CE">
        <w:rPr>
          <w:rFonts w:ascii="Calibri" w:cs="Calibri"/>
        </w:rPr>
        <w:t>Karnath</w:t>
      </w:r>
      <w:proofErr w:type="spellEnd"/>
      <w:r w:rsidRPr="006905CE">
        <w:rPr>
          <w:rFonts w:ascii="Calibri" w:cs="Calibri"/>
        </w:rPr>
        <w:t xml:space="preserve">, H.-O., Ferber, S., &amp; </w:t>
      </w:r>
      <w:proofErr w:type="spellStart"/>
      <w:r w:rsidRPr="006905CE">
        <w:rPr>
          <w:rFonts w:ascii="Calibri" w:cs="Calibri"/>
        </w:rPr>
        <w:t>Dichgans</w:t>
      </w:r>
      <w:proofErr w:type="spellEnd"/>
      <w:r w:rsidRPr="006905CE">
        <w:rPr>
          <w:rFonts w:ascii="Calibri" w:cs="Calibri"/>
        </w:rPr>
        <w:t xml:space="preserve">, J. (2000). The neural </w:t>
      </w:r>
      <w:proofErr w:type="spellStart"/>
      <w:r w:rsidRPr="006905CE">
        <w:rPr>
          <w:rFonts w:ascii="Calibri" w:cs="Calibri"/>
        </w:rPr>
        <w:t>representation</w:t>
      </w:r>
      <w:proofErr w:type="spellEnd"/>
      <w:r w:rsidRPr="006905CE">
        <w:rPr>
          <w:rFonts w:ascii="Calibri" w:cs="Calibri"/>
        </w:rPr>
        <w:t xml:space="preserve"> of postural control in </w:t>
      </w:r>
      <w:proofErr w:type="spellStart"/>
      <w:r w:rsidRPr="006905CE">
        <w:rPr>
          <w:rFonts w:ascii="Calibri" w:cs="Calibri"/>
        </w:rPr>
        <w:t>humans</w:t>
      </w:r>
      <w:proofErr w:type="spellEnd"/>
      <w:r w:rsidRPr="006905CE">
        <w:rPr>
          <w:rFonts w:ascii="Calibri" w:cs="Calibri"/>
        </w:rPr>
        <w:t xml:space="preserve">. </w:t>
      </w:r>
      <w:proofErr w:type="spellStart"/>
      <w:r w:rsidRPr="006905CE">
        <w:rPr>
          <w:rFonts w:ascii="Calibri" w:cs="Calibri"/>
          <w:i/>
          <w:iCs/>
        </w:rPr>
        <w:t>Proceedings</w:t>
      </w:r>
      <w:proofErr w:type="spellEnd"/>
      <w:r w:rsidRPr="006905CE">
        <w:rPr>
          <w:rFonts w:ascii="Calibri" w:cs="Calibri"/>
          <w:i/>
          <w:iCs/>
        </w:rPr>
        <w:t xml:space="preserve"> of the National </w:t>
      </w:r>
      <w:proofErr w:type="spellStart"/>
      <w:r w:rsidRPr="006905CE">
        <w:rPr>
          <w:rFonts w:ascii="Calibri" w:cs="Calibri"/>
          <w:i/>
          <w:iCs/>
        </w:rPr>
        <w:t>Academy</w:t>
      </w:r>
      <w:proofErr w:type="spellEnd"/>
      <w:r w:rsidRPr="006905CE">
        <w:rPr>
          <w:rFonts w:ascii="Calibri" w:cs="Calibri"/>
          <w:i/>
          <w:iCs/>
        </w:rPr>
        <w:t xml:space="preserve"> of Sciences of the United States of America</w:t>
      </w:r>
      <w:r w:rsidRPr="006905CE">
        <w:rPr>
          <w:rFonts w:ascii="Calibri" w:cs="Calibri"/>
        </w:rPr>
        <w:t xml:space="preserve">, </w:t>
      </w:r>
      <w:r w:rsidRPr="006905CE">
        <w:rPr>
          <w:rFonts w:ascii="Calibri" w:cs="Calibri"/>
          <w:i/>
          <w:iCs/>
        </w:rPr>
        <w:t>97</w:t>
      </w:r>
      <w:r w:rsidRPr="006905CE">
        <w:rPr>
          <w:rFonts w:ascii="Calibri" w:cs="Calibri"/>
        </w:rPr>
        <w:t>(25), 13931</w:t>
      </w:r>
      <w:r w:rsidRPr="006905CE">
        <w:rPr>
          <w:rFonts w:ascii="Cambria Math" w:hAnsi="Cambria Math" w:cs="Cambria Math"/>
        </w:rPr>
        <w:t>‑</w:t>
      </w:r>
      <w:r w:rsidRPr="006905CE">
        <w:rPr>
          <w:rFonts w:ascii="Calibri" w:cs="Calibri"/>
        </w:rPr>
        <w:t>13936.</w:t>
      </w:r>
    </w:p>
    <w:p w14:paraId="59AF2957" w14:textId="77777777" w:rsidR="006905CE" w:rsidRPr="006905CE" w:rsidRDefault="006905CE" w:rsidP="006905CE">
      <w:pPr>
        <w:pStyle w:val="Bibliographie"/>
        <w:rPr>
          <w:rFonts w:ascii="Calibri" w:cs="Calibri"/>
        </w:rPr>
      </w:pPr>
      <w:r w:rsidRPr="006905CE">
        <w:rPr>
          <w:rFonts w:ascii="Calibri" w:cs="Calibri"/>
        </w:rPr>
        <w:t xml:space="preserve">Kinésithérapie et seniors. (2019, avril 1). </w:t>
      </w:r>
      <w:r w:rsidRPr="006905CE">
        <w:rPr>
          <w:rFonts w:ascii="Calibri" w:cs="Calibri"/>
          <w:i/>
          <w:iCs/>
        </w:rPr>
        <w:t>Ordre des masseurs-kinésithérapeutes</w:t>
      </w:r>
      <w:r w:rsidRPr="006905CE">
        <w:rPr>
          <w:rFonts w:ascii="Calibri" w:cs="Calibri"/>
        </w:rPr>
        <w:t>. https://www.ordremk.fr/actualites/patients/kinesitherapie-et-seniors/</w:t>
      </w:r>
    </w:p>
    <w:p w14:paraId="2FD1C825" w14:textId="77777777" w:rsidR="006905CE" w:rsidRPr="006905CE" w:rsidRDefault="006905CE" w:rsidP="006905CE">
      <w:pPr>
        <w:pStyle w:val="Bibliographie"/>
        <w:rPr>
          <w:rFonts w:ascii="Calibri" w:cs="Calibri"/>
        </w:rPr>
      </w:pPr>
      <w:r w:rsidRPr="006905CE">
        <w:rPr>
          <w:rFonts w:ascii="Calibri" w:cs="Calibri"/>
        </w:rPr>
        <w:t xml:space="preserve">Krebs, F., Lorenz, L., </w:t>
      </w:r>
      <w:proofErr w:type="spellStart"/>
      <w:r w:rsidRPr="006905CE">
        <w:rPr>
          <w:rFonts w:ascii="Calibri" w:cs="Calibri"/>
        </w:rPr>
        <w:t>Nawabi</w:t>
      </w:r>
      <w:proofErr w:type="spellEnd"/>
      <w:r w:rsidRPr="006905CE">
        <w:rPr>
          <w:rFonts w:ascii="Calibri" w:cs="Calibri"/>
        </w:rPr>
        <w:t xml:space="preserve">, F., </w:t>
      </w:r>
      <w:proofErr w:type="spellStart"/>
      <w:r w:rsidRPr="006905CE">
        <w:rPr>
          <w:rFonts w:ascii="Calibri" w:cs="Calibri"/>
        </w:rPr>
        <w:t>Lück</w:t>
      </w:r>
      <w:proofErr w:type="spellEnd"/>
      <w:r w:rsidRPr="006905CE">
        <w:rPr>
          <w:rFonts w:ascii="Calibri" w:cs="Calibri"/>
        </w:rPr>
        <w:t xml:space="preserve">, I., Bau, A.-M., </w:t>
      </w:r>
      <w:proofErr w:type="spellStart"/>
      <w:r w:rsidRPr="006905CE">
        <w:rPr>
          <w:rFonts w:ascii="Calibri" w:cs="Calibri"/>
        </w:rPr>
        <w:t>Alayli</w:t>
      </w:r>
      <w:proofErr w:type="spellEnd"/>
      <w:r w:rsidRPr="006905CE">
        <w:rPr>
          <w:rFonts w:ascii="Calibri" w:cs="Calibri"/>
        </w:rPr>
        <w:t xml:space="preserve">, A., &amp; Stock, S. (2021). Recruitment in </w:t>
      </w:r>
      <w:proofErr w:type="spellStart"/>
      <w:r w:rsidRPr="006905CE">
        <w:rPr>
          <w:rFonts w:ascii="Calibri" w:cs="Calibri"/>
        </w:rPr>
        <w:t>Health</w:t>
      </w:r>
      <w:proofErr w:type="spellEnd"/>
      <w:r w:rsidRPr="006905CE">
        <w:rPr>
          <w:rFonts w:ascii="Calibri" w:cs="Calibri"/>
        </w:rPr>
        <w:t xml:space="preserve"> Services </w:t>
      </w:r>
      <w:proofErr w:type="spellStart"/>
      <w:r w:rsidRPr="006905CE">
        <w:rPr>
          <w:rFonts w:ascii="Calibri" w:cs="Calibri"/>
        </w:rPr>
        <w:t>Research</w:t>
      </w:r>
      <w:proofErr w:type="spellEnd"/>
      <w:r w:rsidRPr="006905CE">
        <w:rPr>
          <w:rFonts w:ascii="Calibri" w:cs="Calibri"/>
        </w:rPr>
        <w:t xml:space="preserve">—A </w:t>
      </w:r>
      <w:proofErr w:type="spellStart"/>
      <w:r w:rsidRPr="006905CE">
        <w:rPr>
          <w:rFonts w:ascii="Calibri" w:cs="Calibri"/>
        </w:rPr>
        <w:t>Study</w:t>
      </w:r>
      <w:proofErr w:type="spellEnd"/>
      <w:r w:rsidRPr="006905CE">
        <w:rPr>
          <w:rFonts w:ascii="Calibri" w:cs="Calibri"/>
        </w:rPr>
        <w:t xml:space="preserve"> on </w:t>
      </w:r>
      <w:proofErr w:type="spellStart"/>
      <w:r w:rsidRPr="006905CE">
        <w:rPr>
          <w:rFonts w:ascii="Calibri" w:cs="Calibri"/>
        </w:rPr>
        <w:t>Facilitators</w:t>
      </w:r>
      <w:proofErr w:type="spellEnd"/>
      <w:r w:rsidRPr="006905CE">
        <w:rPr>
          <w:rFonts w:ascii="Calibri" w:cs="Calibri"/>
        </w:rPr>
        <w:t xml:space="preserve"> and </w:t>
      </w:r>
      <w:proofErr w:type="spellStart"/>
      <w:r w:rsidRPr="006905CE">
        <w:rPr>
          <w:rFonts w:ascii="Calibri" w:cs="Calibri"/>
        </w:rPr>
        <w:t>Barriers</w:t>
      </w:r>
      <w:proofErr w:type="spellEnd"/>
      <w:r w:rsidRPr="006905CE">
        <w:rPr>
          <w:rFonts w:ascii="Calibri" w:cs="Calibri"/>
        </w:rPr>
        <w:t xml:space="preserve"> for the Recruitment of Community-</w:t>
      </w:r>
      <w:proofErr w:type="spellStart"/>
      <w:r w:rsidRPr="006905CE">
        <w:rPr>
          <w:rFonts w:ascii="Calibri" w:cs="Calibri"/>
        </w:rPr>
        <w:t>Based</w:t>
      </w:r>
      <w:proofErr w:type="spellEnd"/>
      <w:r w:rsidRPr="006905CE">
        <w:rPr>
          <w:rFonts w:ascii="Calibri" w:cs="Calibri"/>
        </w:rPr>
        <w:t xml:space="preserve"> Healthcare Providers. </w:t>
      </w:r>
      <w:r w:rsidRPr="006905CE">
        <w:rPr>
          <w:rFonts w:ascii="Calibri" w:cs="Calibri"/>
          <w:i/>
          <w:iCs/>
        </w:rPr>
        <w:t xml:space="preserve">International Journal of </w:t>
      </w:r>
      <w:proofErr w:type="spellStart"/>
      <w:r w:rsidRPr="006905CE">
        <w:rPr>
          <w:rFonts w:ascii="Calibri" w:cs="Calibri"/>
          <w:i/>
          <w:iCs/>
        </w:rPr>
        <w:t>Environmental</w:t>
      </w:r>
      <w:proofErr w:type="spellEnd"/>
      <w:r w:rsidRPr="006905CE">
        <w:rPr>
          <w:rFonts w:ascii="Calibri" w:cs="Calibri"/>
          <w:i/>
          <w:iCs/>
        </w:rPr>
        <w:t xml:space="preserve"> </w:t>
      </w:r>
      <w:proofErr w:type="spellStart"/>
      <w:r w:rsidRPr="006905CE">
        <w:rPr>
          <w:rFonts w:ascii="Calibri" w:cs="Calibri"/>
          <w:i/>
          <w:iCs/>
        </w:rPr>
        <w:t>Research</w:t>
      </w:r>
      <w:proofErr w:type="spellEnd"/>
      <w:r w:rsidRPr="006905CE">
        <w:rPr>
          <w:rFonts w:ascii="Calibri" w:cs="Calibri"/>
          <w:i/>
          <w:iCs/>
        </w:rPr>
        <w:t xml:space="preserve"> and Public </w:t>
      </w:r>
      <w:proofErr w:type="spellStart"/>
      <w:r w:rsidRPr="006905CE">
        <w:rPr>
          <w:rFonts w:ascii="Calibri" w:cs="Calibri"/>
          <w:i/>
          <w:iCs/>
        </w:rPr>
        <w:t>Health</w:t>
      </w:r>
      <w:proofErr w:type="spellEnd"/>
      <w:r w:rsidRPr="006905CE">
        <w:rPr>
          <w:rFonts w:ascii="Calibri" w:cs="Calibri"/>
        </w:rPr>
        <w:t xml:space="preserve">, </w:t>
      </w:r>
      <w:r w:rsidRPr="006905CE">
        <w:rPr>
          <w:rFonts w:ascii="Calibri" w:cs="Calibri"/>
          <w:i/>
          <w:iCs/>
        </w:rPr>
        <w:t>18</w:t>
      </w:r>
      <w:r w:rsidRPr="006905CE">
        <w:rPr>
          <w:rFonts w:ascii="Calibri" w:cs="Calibri"/>
        </w:rPr>
        <w:t>(19), 10521. https://doi.org/10.3390/ijerph181910521</w:t>
      </w:r>
    </w:p>
    <w:p w14:paraId="1DF80F9B" w14:textId="77777777" w:rsidR="006905CE" w:rsidRPr="006905CE" w:rsidRDefault="006905CE" w:rsidP="006905CE">
      <w:pPr>
        <w:pStyle w:val="Bibliographie"/>
        <w:rPr>
          <w:rFonts w:ascii="Calibri" w:cs="Calibri"/>
        </w:rPr>
      </w:pPr>
      <w:r w:rsidRPr="006905CE">
        <w:rPr>
          <w:rFonts w:ascii="Calibri" w:cs="Calibri"/>
        </w:rPr>
        <w:lastRenderedPageBreak/>
        <w:t xml:space="preserve">Leddy, A. L., </w:t>
      </w:r>
      <w:proofErr w:type="spellStart"/>
      <w:r w:rsidRPr="006905CE">
        <w:rPr>
          <w:rFonts w:ascii="Calibri" w:cs="Calibri"/>
        </w:rPr>
        <w:t>Crowner</w:t>
      </w:r>
      <w:proofErr w:type="spellEnd"/>
      <w:r w:rsidRPr="006905CE">
        <w:rPr>
          <w:rFonts w:ascii="Calibri" w:cs="Calibri"/>
        </w:rPr>
        <w:t xml:space="preserve">, B. E., &amp; </w:t>
      </w:r>
      <w:proofErr w:type="spellStart"/>
      <w:r w:rsidRPr="006905CE">
        <w:rPr>
          <w:rFonts w:ascii="Calibri" w:cs="Calibri"/>
        </w:rPr>
        <w:t>Earhart</w:t>
      </w:r>
      <w:proofErr w:type="spellEnd"/>
      <w:r w:rsidRPr="006905CE">
        <w:rPr>
          <w:rFonts w:ascii="Calibri" w:cs="Calibri"/>
        </w:rPr>
        <w:t>, G. M. (2011). Utility of the Mini-</w:t>
      </w:r>
      <w:proofErr w:type="spellStart"/>
      <w:r w:rsidRPr="006905CE">
        <w:rPr>
          <w:rFonts w:ascii="Calibri" w:cs="Calibri"/>
        </w:rPr>
        <w:t>BESTest</w:t>
      </w:r>
      <w:proofErr w:type="spellEnd"/>
      <w:r w:rsidRPr="006905CE">
        <w:rPr>
          <w:rFonts w:ascii="Calibri" w:cs="Calibri"/>
        </w:rPr>
        <w:t xml:space="preserve">, </w:t>
      </w:r>
      <w:proofErr w:type="spellStart"/>
      <w:r w:rsidRPr="006905CE">
        <w:rPr>
          <w:rFonts w:ascii="Calibri" w:cs="Calibri"/>
        </w:rPr>
        <w:t>BESTest</w:t>
      </w:r>
      <w:proofErr w:type="spellEnd"/>
      <w:r w:rsidRPr="006905CE">
        <w:rPr>
          <w:rFonts w:ascii="Calibri" w:cs="Calibri"/>
        </w:rPr>
        <w:t xml:space="preserve">, and </w:t>
      </w:r>
      <w:proofErr w:type="spellStart"/>
      <w:r w:rsidRPr="006905CE">
        <w:rPr>
          <w:rFonts w:ascii="Calibri" w:cs="Calibri"/>
        </w:rPr>
        <w:t>BESTest</w:t>
      </w:r>
      <w:proofErr w:type="spellEnd"/>
      <w:r w:rsidRPr="006905CE">
        <w:rPr>
          <w:rFonts w:ascii="Calibri" w:cs="Calibri"/>
        </w:rPr>
        <w:t xml:space="preserve"> Sections for Balance </w:t>
      </w:r>
      <w:proofErr w:type="spellStart"/>
      <w:r w:rsidRPr="006905CE">
        <w:rPr>
          <w:rFonts w:ascii="Calibri" w:cs="Calibri"/>
        </w:rPr>
        <w:t>Assessments</w:t>
      </w:r>
      <w:proofErr w:type="spellEnd"/>
      <w:r w:rsidRPr="006905CE">
        <w:rPr>
          <w:rFonts w:ascii="Calibri" w:cs="Calibri"/>
        </w:rPr>
        <w:t xml:space="preserve"> in </w:t>
      </w:r>
      <w:proofErr w:type="spellStart"/>
      <w:r w:rsidRPr="006905CE">
        <w:rPr>
          <w:rFonts w:ascii="Calibri" w:cs="Calibri"/>
        </w:rPr>
        <w:t>Individuals</w:t>
      </w:r>
      <w:proofErr w:type="spellEnd"/>
      <w:r w:rsidRPr="006905CE">
        <w:rPr>
          <w:rFonts w:ascii="Calibri" w:cs="Calibri"/>
        </w:rPr>
        <w:t xml:space="preserve"> </w:t>
      </w:r>
      <w:proofErr w:type="spellStart"/>
      <w:r w:rsidRPr="006905CE">
        <w:rPr>
          <w:rFonts w:ascii="Calibri" w:cs="Calibri"/>
        </w:rPr>
        <w:t>with</w:t>
      </w:r>
      <w:proofErr w:type="spellEnd"/>
      <w:r w:rsidRPr="006905CE">
        <w:rPr>
          <w:rFonts w:ascii="Calibri" w:cs="Calibri"/>
        </w:rPr>
        <w:t xml:space="preserve"> Parkinson </w:t>
      </w:r>
      <w:proofErr w:type="spellStart"/>
      <w:r w:rsidRPr="006905CE">
        <w:rPr>
          <w:rFonts w:ascii="Calibri" w:cs="Calibri"/>
        </w:rPr>
        <w:t>Disease</w:t>
      </w:r>
      <w:proofErr w:type="spellEnd"/>
      <w:r w:rsidRPr="006905CE">
        <w:rPr>
          <w:rFonts w:ascii="Calibri" w:cs="Calibri"/>
        </w:rPr>
        <w:t xml:space="preserve">. </w:t>
      </w:r>
      <w:r w:rsidRPr="006905CE">
        <w:rPr>
          <w:rFonts w:ascii="Calibri" w:cs="Calibri"/>
          <w:i/>
          <w:iCs/>
        </w:rPr>
        <w:t xml:space="preserve">Journal of </w:t>
      </w:r>
      <w:proofErr w:type="spellStart"/>
      <w:r w:rsidRPr="006905CE">
        <w:rPr>
          <w:rFonts w:ascii="Calibri" w:cs="Calibri"/>
          <w:i/>
          <w:iCs/>
        </w:rPr>
        <w:t>neurologic</w:t>
      </w:r>
      <w:proofErr w:type="spellEnd"/>
      <w:r w:rsidRPr="006905CE">
        <w:rPr>
          <w:rFonts w:ascii="Calibri" w:cs="Calibri"/>
          <w:i/>
          <w:iCs/>
        </w:rPr>
        <w:t xml:space="preserve"> </w:t>
      </w:r>
      <w:proofErr w:type="spellStart"/>
      <w:r w:rsidRPr="006905CE">
        <w:rPr>
          <w:rFonts w:ascii="Calibri" w:cs="Calibri"/>
          <w:i/>
          <w:iCs/>
        </w:rPr>
        <w:t>physical</w:t>
      </w:r>
      <w:proofErr w:type="spellEnd"/>
      <w:r w:rsidRPr="006905CE">
        <w:rPr>
          <w:rFonts w:ascii="Calibri" w:cs="Calibri"/>
          <w:i/>
          <w:iCs/>
        </w:rPr>
        <w:t xml:space="preserve"> </w:t>
      </w:r>
      <w:proofErr w:type="spellStart"/>
      <w:r w:rsidRPr="006905CE">
        <w:rPr>
          <w:rFonts w:ascii="Calibri" w:cs="Calibri"/>
          <w:i/>
          <w:iCs/>
        </w:rPr>
        <w:t>therapy</w:t>
      </w:r>
      <w:proofErr w:type="spellEnd"/>
      <w:r w:rsidRPr="006905CE">
        <w:rPr>
          <w:rFonts w:ascii="Calibri" w:cs="Calibri"/>
          <w:i/>
          <w:iCs/>
        </w:rPr>
        <w:t> : JNPT</w:t>
      </w:r>
      <w:r w:rsidRPr="006905CE">
        <w:rPr>
          <w:rFonts w:ascii="Calibri" w:cs="Calibri"/>
        </w:rPr>
        <w:t xml:space="preserve">, </w:t>
      </w:r>
      <w:r w:rsidRPr="006905CE">
        <w:rPr>
          <w:rFonts w:ascii="Calibri" w:cs="Calibri"/>
          <w:i/>
          <w:iCs/>
        </w:rPr>
        <w:t>35</w:t>
      </w:r>
      <w:r w:rsidRPr="006905CE">
        <w:rPr>
          <w:rFonts w:ascii="Calibri" w:cs="Calibri"/>
        </w:rPr>
        <w:t>(2), 90</w:t>
      </w:r>
      <w:r w:rsidRPr="006905CE">
        <w:rPr>
          <w:rFonts w:ascii="Cambria Math" w:hAnsi="Cambria Math" w:cs="Cambria Math"/>
        </w:rPr>
        <w:t>‑</w:t>
      </w:r>
      <w:r w:rsidRPr="006905CE">
        <w:rPr>
          <w:rFonts w:ascii="Calibri" w:cs="Calibri"/>
        </w:rPr>
        <w:t>97. https://doi.org/10.1097/NPT.0b013e31821a620c</w:t>
      </w:r>
    </w:p>
    <w:p w14:paraId="507B70D1" w14:textId="77777777" w:rsidR="006905CE" w:rsidRPr="006905CE" w:rsidRDefault="006905CE" w:rsidP="006905CE">
      <w:pPr>
        <w:pStyle w:val="Bibliographie"/>
        <w:rPr>
          <w:rFonts w:ascii="Calibri" w:cs="Calibri"/>
        </w:rPr>
      </w:pPr>
      <w:r w:rsidRPr="006905CE">
        <w:rPr>
          <w:rFonts w:ascii="Calibri" w:cs="Calibri"/>
        </w:rPr>
        <w:t xml:space="preserve">Lee, L., </w:t>
      </w:r>
      <w:proofErr w:type="spellStart"/>
      <w:r w:rsidRPr="006905CE">
        <w:rPr>
          <w:rFonts w:ascii="Calibri" w:cs="Calibri"/>
        </w:rPr>
        <w:t>Heckman</w:t>
      </w:r>
      <w:proofErr w:type="spellEnd"/>
      <w:r w:rsidRPr="006905CE">
        <w:rPr>
          <w:rFonts w:ascii="Calibri" w:cs="Calibri"/>
        </w:rPr>
        <w:t xml:space="preserve">, G., &amp; Molnar, F. J. (2015). La fragilité. </w:t>
      </w:r>
      <w:r w:rsidRPr="006905CE">
        <w:rPr>
          <w:rFonts w:ascii="Calibri" w:cs="Calibri"/>
          <w:i/>
          <w:iCs/>
        </w:rPr>
        <w:t xml:space="preserve">Canadian Family </w:t>
      </w:r>
      <w:proofErr w:type="spellStart"/>
      <w:r w:rsidRPr="006905CE">
        <w:rPr>
          <w:rFonts w:ascii="Calibri" w:cs="Calibri"/>
          <w:i/>
          <w:iCs/>
        </w:rPr>
        <w:t>Physician</w:t>
      </w:r>
      <w:proofErr w:type="spellEnd"/>
      <w:r w:rsidRPr="006905CE">
        <w:rPr>
          <w:rFonts w:ascii="Calibri" w:cs="Calibri"/>
        </w:rPr>
        <w:t xml:space="preserve">, </w:t>
      </w:r>
      <w:r w:rsidRPr="006905CE">
        <w:rPr>
          <w:rFonts w:ascii="Calibri" w:cs="Calibri"/>
          <w:i/>
          <w:iCs/>
        </w:rPr>
        <w:t>61</w:t>
      </w:r>
      <w:r w:rsidRPr="006905CE">
        <w:rPr>
          <w:rFonts w:ascii="Calibri" w:cs="Calibri"/>
        </w:rPr>
        <w:t>(3), e119</w:t>
      </w:r>
      <w:r w:rsidRPr="006905CE">
        <w:rPr>
          <w:rFonts w:ascii="Cambria Math" w:hAnsi="Cambria Math" w:cs="Cambria Math"/>
        </w:rPr>
        <w:t>‑</w:t>
      </w:r>
      <w:r w:rsidRPr="006905CE">
        <w:rPr>
          <w:rFonts w:ascii="Calibri" w:cs="Calibri"/>
        </w:rPr>
        <w:t>e124.</w:t>
      </w:r>
    </w:p>
    <w:p w14:paraId="2AA3F504" w14:textId="77777777" w:rsidR="006905CE" w:rsidRPr="006905CE" w:rsidRDefault="006905CE" w:rsidP="006905CE">
      <w:pPr>
        <w:pStyle w:val="Bibliographie"/>
        <w:rPr>
          <w:rFonts w:ascii="Calibri" w:cs="Calibri"/>
        </w:rPr>
      </w:pPr>
      <w:r w:rsidRPr="006905CE">
        <w:rPr>
          <w:rFonts w:ascii="Calibri" w:cs="Calibri"/>
        </w:rPr>
        <w:t xml:space="preserve">Li, Z., Liang, Y.-Y., Wang, L., Sheng, J., &amp; Ma, S.-J. (2016). </w:t>
      </w:r>
      <w:proofErr w:type="spellStart"/>
      <w:r w:rsidRPr="006905CE">
        <w:rPr>
          <w:rFonts w:ascii="Calibri" w:cs="Calibri"/>
        </w:rPr>
        <w:t>Reliability</w:t>
      </w:r>
      <w:proofErr w:type="spellEnd"/>
      <w:r w:rsidRPr="006905CE">
        <w:rPr>
          <w:rFonts w:ascii="Calibri" w:cs="Calibri"/>
        </w:rPr>
        <w:t xml:space="preserve"> and </w:t>
      </w:r>
      <w:proofErr w:type="spellStart"/>
      <w:r w:rsidRPr="006905CE">
        <w:rPr>
          <w:rFonts w:ascii="Calibri" w:cs="Calibri"/>
        </w:rPr>
        <w:t>validity</w:t>
      </w:r>
      <w:proofErr w:type="spellEnd"/>
      <w:r w:rsidRPr="006905CE">
        <w:rPr>
          <w:rFonts w:ascii="Calibri" w:cs="Calibri"/>
        </w:rPr>
        <w:t xml:space="preserve"> of center of pressure </w:t>
      </w:r>
      <w:proofErr w:type="spellStart"/>
      <w:r w:rsidRPr="006905CE">
        <w:rPr>
          <w:rFonts w:ascii="Calibri" w:cs="Calibri"/>
        </w:rPr>
        <w:t>measures</w:t>
      </w:r>
      <w:proofErr w:type="spellEnd"/>
      <w:r w:rsidRPr="006905CE">
        <w:rPr>
          <w:rFonts w:ascii="Calibri" w:cs="Calibri"/>
        </w:rPr>
        <w:t xml:space="preserve"> for balance </w:t>
      </w:r>
      <w:proofErr w:type="spellStart"/>
      <w:r w:rsidRPr="006905CE">
        <w:rPr>
          <w:rFonts w:ascii="Calibri" w:cs="Calibri"/>
        </w:rPr>
        <w:t>assessment</w:t>
      </w:r>
      <w:proofErr w:type="spellEnd"/>
      <w:r w:rsidRPr="006905CE">
        <w:rPr>
          <w:rFonts w:ascii="Calibri" w:cs="Calibri"/>
        </w:rPr>
        <w:t xml:space="preserve"> in </w:t>
      </w:r>
      <w:proofErr w:type="spellStart"/>
      <w:r w:rsidRPr="006905CE">
        <w:rPr>
          <w:rFonts w:ascii="Calibri" w:cs="Calibri"/>
        </w:rPr>
        <w:t>older</w:t>
      </w:r>
      <w:proofErr w:type="spellEnd"/>
      <w:r w:rsidRPr="006905CE">
        <w:rPr>
          <w:rFonts w:ascii="Calibri" w:cs="Calibri"/>
        </w:rPr>
        <w:t xml:space="preserve"> </w:t>
      </w:r>
      <w:proofErr w:type="spellStart"/>
      <w:r w:rsidRPr="006905CE">
        <w:rPr>
          <w:rFonts w:ascii="Calibri" w:cs="Calibri"/>
        </w:rPr>
        <w:t>adults</w:t>
      </w:r>
      <w:proofErr w:type="spellEnd"/>
      <w:r w:rsidRPr="006905CE">
        <w:rPr>
          <w:rFonts w:ascii="Calibri" w:cs="Calibri"/>
        </w:rPr>
        <w:t xml:space="preserve">. </w:t>
      </w:r>
      <w:r w:rsidRPr="006905CE">
        <w:rPr>
          <w:rFonts w:ascii="Calibri" w:cs="Calibri"/>
          <w:i/>
          <w:iCs/>
        </w:rPr>
        <w:t xml:space="preserve">Journal of Physical </w:t>
      </w:r>
      <w:proofErr w:type="spellStart"/>
      <w:r w:rsidRPr="006905CE">
        <w:rPr>
          <w:rFonts w:ascii="Calibri" w:cs="Calibri"/>
          <w:i/>
          <w:iCs/>
        </w:rPr>
        <w:t>Therapy</w:t>
      </w:r>
      <w:proofErr w:type="spellEnd"/>
      <w:r w:rsidRPr="006905CE">
        <w:rPr>
          <w:rFonts w:ascii="Calibri" w:cs="Calibri"/>
          <w:i/>
          <w:iCs/>
        </w:rPr>
        <w:t xml:space="preserve"> Science</w:t>
      </w:r>
      <w:r w:rsidRPr="006905CE">
        <w:rPr>
          <w:rFonts w:ascii="Calibri" w:cs="Calibri"/>
        </w:rPr>
        <w:t xml:space="preserve">, </w:t>
      </w:r>
      <w:r w:rsidRPr="006905CE">
        <w:rPr>
          <w:rFonts w:ascii="Calibri" w:cs="Calibri"/>
          <w:i/>
          <w:iCs/>
        </w:rPr>
        <w:t>28</w:t>
      </w:r>
      <w:r w:rsidRPr="006905CE">
        <w:rPr>
          <w:rFonts w:ascii="Calibri" w:cs="Calibri"/>
        </w:rPr>
        <w:t>(4), 1364</w:t>
      </w:r>
      <w:r w:rsidRPr="006905CE">
        <w:rPr>
          <w:rFonts w:ascii="Cambria Math" w:hAnsi="Cambria Math" w:cs="Cambria Math"/>
        </w:rPr>
        <w:t>‑</w:t>
      </w:r>
      <w:r w:rsidRPr="006905CE">
        <w:rPr>
          <w:rFonts w:ascii="Calibri" w:cs="Calibri"/>
        </w:rPr>
        <w:t>1367. https://doi.org/10.1589/jpts.28.1364</w:t>
      </w:r>
    </w:p>
    <w:p w14:paraId="6EFB744A" w14:textId="77777777" w:rsidR="006905CE" w:rsidRPr="006905CE" w:rsidRDefault="006905CE" w:rsidP="006905CE">
      <w:pPr>
        <w:pStyle w:val="Bibliographie"/>
        <w:rPr>
          <w:rFonts w:ascii="Calibri" w:cs="Calibri"/>
        </w:rPr>
      </w:pPr>
      <w:r w:rsidRPr="006905CE">
        <w:rPr>
          <w:rFonts w:ascii="Calibri" w:cs="Calibri"/>
        </w:rPr>
        <w:t xml:space="preserve">Mancini, M., &amp; </w:t>
      </w:r>
      <w:proofErr w:type="spellStart"/>
      <w:r w:rsidRPr="006905CE">
        <w:rPr>
          <w:rFonts w:ascii="Calibri" w:cs="Calibri"/>
        </w:rPr>
        <w:t>Horak</w:t>
      </w:r>
      <w:proofErr w:type="spellEnd"/>
      <w:r w:rsidRPr="006905CE">
        <w:rPr>
          <w:rFonts w:ascii="Calibri" w:cs="Calibri"/>
        </w:rPr>
        <w:t xml:space="preserve">, F. B. (2010). The relevance of </w:t>
      </w:r>
      <w:proofErr w:type="spellStart"/>
      <w:r w:rsidRPr="006905CE">
        <w:rPr>
          <w:rFonts w:ascii="Calibri" w:cs="Calibri"/>
        </w:rPr>
        <w:t>clinical</w:t>
      </w:r>
      <w:proofErr w:type="spellEnd"/>
      <w:r w:rsidRPr="006905CE">
        <w:rPr>
          <w:rFonts w:ascii="Calibri" w:cs="Calibri"/>
        </w:rPr>
        <w:t xml:space="preserve"> balance </w:t>
      </w:r>
      <w:proofErr w:type="spellStart"/>
      <w:r w:rsidRPr="006905CE">
        <w:rPr>
          <w:rFonts w:ascii="Calibri" w:cs="Calibri"/>
        </w:rPr>
        <w:t>assessment</w:t>
      </w:r>
      <w:proofErr w:type="spellEnd"/>
      <w:r w:rsidRPr="006905CE">
        <w:rPr>
          <w:rFonts w:ascii="Calibri" w:cs="Calibri"/>
        </w:rPr>
        <w:t xml:space="preserve"> </w:t>
      </w:r>
      <w:proofErr w:type="spellStart"/>
      <w:r w:rsidRPr="006905CE">
        <w:rPr>
          <w:rFonts w:ascii="Calibri" w:cs="Calibri"/>
        </w:rPr>
        <w:t>tools</w:t>
      </w:r>
      <w:proofErr w:type="spellEnd"/>
      <w:r w:rsidRPr="006905CE">
        <w:rPr>
          <w:rFonts w:ascii="Calibri" w:cs="Calibri"/>
        </w:rPr>
        <w:t xml:space="preserve"> to </w:t>
      </w:r>
      <w:proofErr w:type="spellStart"/>
      <w:r w:rsidRPr="006905CE">
        <w:rPr>
          <w:rFonts w:ascii="Calibri" w:cs="Calibri"/>
        </w:rPr>
        <w:t>differentiate</w:t>
      </w:r>
      <w:proofErr w:type="spellEnd"/>
      <w:r w:rsidRPr="006905CE">
        <w:rPr>
          <w:rFonts w:ascii="Calibri" w:cs="Calibri"/>
        </w:rPr>
        <w:t xml:space="preserve"> balance </w:t>
      </w:r>
      <w:proofErr w:type="spellStart"/>
      <w:r w:rsidRPr="006905CE">
        <w:rPr>
          <w:rFonts w:ascii="Calibri" w:cs="Calibri"/>
        </w:rPr>
        <w:t>deficits</w:t>
      </w:r>
      <w:proofErr w:type="spellEnd"/>
      <w:r w:rsidRPr="006905CE">
        <w:rPr>
          <w:rFonts w:ascii="Calibri" w:cs="Calibri"/>
        </w:rPr>
        <w:t xml:space="preserve">. </w:t>
      </w:r>
      <w:proofErr w:type="spellStart"/>
      <w:r w:rsidRPr="006905CE">
        <w:rPr>
          <w:rFonts w:ascii="Calibri" w:cs="Calibri"/>
          <w:i/>
          <w:iCs/>
        </w:rPr>
        <w:t>European</w:t>
      </w:r>
      <w:proofErr w:type="spellEnd"/>
      <w:r w:rsidRPr="006905CE">
        <w:rPr>
          <w:rFonts w:ascii="Calibri" w:cs="Calibri"/>
          <w:i/>
          <w:iCs/>
        </w:rPr>
        <w:t xml:space="preserve"> Journal of Physical and </w:t>
      </w:r>
      <w:proofErr w:type="spellStart"/>
      <w:r w:rsidRPr="006905CE">
        <w:rPr>
          <w:rFonts w:ascii="Calibri" w:cs="Calibri"/>
          <w:i/>
          <w:iCs/>
        </w:rPr>
        <w:t>Rehabilitation</w:t>
      </w:r>
      <w:proofErr w:type="spellEnd"/>
      <w:r w:rsidRPr="006905CE">
        <w:rPr>
          <w:rFonts w:ascii="Calibri" w:cs="Calibri"/>
          <w:i/>
          <w:iCs/>
        </w:rPr>
        <w:t xml:space="preserve"> </w:t>
      </w:r>
      <w:proofErr w:type="spellStart"/>
      <w:r w:rsidRPr="006905CE">
        <w:rPr>
          <w:rFonts w:ascii="Calibri" w:cs="Calibri"/>
          <w:i/>
          <w:iCs/>
        </w:rPr>
        <w:t>Medicine</w:t>
      </w:r>
      <w:proofErr w:type="spellEnd"/>
      <w:r w:rsidRPr="006905CE">
        <w:rPr>
          <w:rFonts w:ascii="Calibri" w:cs="Calibri"/>
        </w:rPr>
        <w:t xml:space="preserve">, </w:t>
      </w:r>
      <w:r w:rsidRPr="006905CE">
        <w:rPr>
          <w:rFonts w:ascii="Calibri" w:cs="Calibri"/>
          <w:i/>
          <w:iCs/>
        </w:rPr>
        <w:t>46</w:t>
      </w:r>
      <w:r w:rsidRPr="006905CE">
        <w:rPr>
          <w:rFonts w:ascii="Calibri" w:cs="Calibri"/>
        </w:rPr>
        <w:t>(2), 239</w:t>
      </w:r>
      <w:r w:rsidRPr="006905CE">
        <w:rPr>
          <w:rFonts w:ascii="Cambria Math" w:hAnsi="Cambria Math" w:cs="Cambria Math"/>
        </w:rPr>
        <w:t>‑</w:t>
      </w:r>
      <w:r w:rsidRPr="006905CE">
        <w:rPr>
          <w:rFonts w:ascii="Calibri" w:cs="Calibri"/>
        </w:rPr>
        <w:t>248.</w:t>
      </w:r>
    </w:p>
    <w:p w14:paraId="3FA932EB" w14:textId="77777777" w:rsidR="006905CE" w:rsidRPr="006905CE" w:rsidRDefault="006905CE" w:rsidP="006905CE">
      <w:pPr>
        <w:pStyle w:val="Bibliographie"/>
        <w:rPr>
          <w:rFonts w:ascii="Calibri" w:cs="Calibri"/>
        </w:rPr>
      </w:pPr>
      <w:r w:rsidRPr="006905CE">
        <w:rPr>
          <w:rFonts w:ascii="Calibri" w:cs="Calibri"/>
        </w:rPr>
        <w:t xml:space="preserve">Marques, A., Almeida, S., Carvalho, J., Cruz, J., Oliveira, A., &amp; </w:t>
      </w:r>
      <w:proofErr w:type="spellStart"/>
      <w:r w:rsidRPr="006905CE">
        <w:rPr>
          <w:rFonts w:ascii="Calibri" w:cs="Calibri"/>
        </w:rPr>
        <w:t>Jácome</w:t>
      </w:r>
      <w:proofErr w:type="spellEnd"/>
      <w:r w:rsidRPr="006905CE">
        <w:rPr>
          <w:rFonts w:ascii="Calibri" w:cs="Calibri"/>
        </w:rPr>
        <w:t xml:space="preserve">, C. (2016). </w:t>
      </w:r>
      <w:proofErr w:type="spellStart"/>
      <w:r w:rsidRPr="006905CE">
        <w:rPr>
          <w:rFonts w:ascii="Calibri" w:cs="Calibri"/>
        </w:rPr>
        <w:t>Reliability</w:t>
      </w:r>
      <w:proofErr w:type="spellEnd"/>
      <w:r w:rsidRPr="006905CE">
        <w:rPr>
          <w:rFonts w:ascii="Calibri" w:cs="Calibri"/>
        </w:rPr>
        <w:t xml:space="preserve">, </w:t>
      </w:r>
      <w:proofErr w:type="spellStart"/>
      <w:r w:rsidRPr="006905CE">
        <w:rPr>
          <w:rFonts w:ascii="Calibri" w:cs="Calibri"/>
        </w:rPr>
        <w:t>Validity</w:t>
      </w:r>
      <w:proofErr w:type="spellEnd"/>
      <w:r w:rsidRPr="006905CE">
        <w:rPr>
          <w:rFonts w:ascii="Calibri" w:cs="Calibri"/>
        </w:rPr>
        <w:t xml:space="preserve">, and </w:t>
      </w:r>
      <w:proofErr w:type="spellStart"/>
      <w:r w:rsidRPr="006905CE">
        <w:rPr>
          <w:rFonts w:ascii="Calibri" w:cs="Calibri"/>
        </w:rPr>
        <w:t>Ability</w:t>
      </w:r>
      <w:proofErr w:type="spellEnd"/>
      <w:r w:rsidRPr="006905CE">
        <w:rPr>
          <w:rFonts w:ascii="Calibri" w:cs="Calibri"/>
        </w:rPr>
        <w:t xml:space="preserve"> to </w:t>
      </w:r>
      <w:proofErr w:type="spellStart"/>
      <w:r w:rsidRPr="006905CE">
        <w:rPr>
          <w:rFonts w:ascii="Calibri" w:cs="Calibri"/>
        </w:rPr>
        <w:t>Identify</w:t>
      </w:r>
      <w:proofErr w:type="spellEnd"/>
      <w:r w:rsidRPr="006905CE">
        <w:rPr>
          <w:rFonts w:ascii="Calibri" w:cs="Calibri"/>
        </w:rPr>
        <w:t xml:space="preserve"> </w:t>
      </w:r>
      <w:proofErr w:type="spellStart"/>
      <w:r w:rsidRPr="006905CE">
        <w:rPr>
          <w:rFonts w:ascii="Calibri" w:cs="Calibri"/>
        </w:rPr>
        <w:t>Fall</w:t>
      </w:r>
      <w:proofErr w:type="spellEnd"/>
      <w:r w:rsidRPr="006905CE">
        <w:rPr>
          <w:rFonts w:ascii="Calibri" w:cs="Calibri"/>
        </w:rPr>
        <w:t xml:space="preserve"> </w:t>
      </w:r>
      <w:proofErr w:type="spellStart"/>
      <w:r w:rsidRPr="006905CE">
        <w:rPr>
          <w:rFonts w:ascii="Calibri" w:cs="Calibri"/>
        </w:rPr>
        <w:t>Status</w:t>
      </w:r>
      <w:proofErr w:type="spellEnd"/>
      <w:r w:rsidRPr="006905CE">
        <w:rPr>
          <w:rFonts w:ascii="Calibri" w:cs="Calibri"/>
        </w:rPr>
        <w:t xml:space="preserve"> of the Balance </w:t>
      </w:r>
      <w:proofErr w:type="spellStart"/>
      <w:r w:rsidRPr="006905CE">
        <w:rPr>
          <w:rFonts w:ascii="Calibri" w:cs="Calibri"/>
        </w:rPr>
        <w:t>Evaluation</w:t>
      </w:r>
      <w:proofErr w:type="spellEnd"/>
      <w:r w:rsidRPr="006905CE">
        <w:rPr>
          <w:rFonts w:ascii="Calibri" w:cs="Calibri"/>
        </w:rPr>
        <w:t xml:space="preserve"> </w:t>
      </w:r>
      <w:proofErr w:type="spellStart"/>
      <w:r w:rsidRPr="006905CE">
        <w:rPr>
          <w:rFonts w:ascii="Calibri" w:cs="Calibri"/>
        </w:rPr>
        <w:t>Systems</w:t>
      </w:r>
      <w:proofErr w:type="spellEnd"/>
      <w:r w:rsidRPr="006905CE">
        <w:rPr>
          <w:rFonts w:ascii="Calibri" w:cs="Calibri"/>
        </w:rPr>
        <w:t xml:space="preserve"> Test, Mini-Balance </w:t>
      </w:r>
      <w:proofErr w:type="spellStart"/>
      <w:r w:rsidRPr="006905CE">
        <w:rPr>
          <w:rFonts w:ascii="Calibri" w:cs="Calibri"/>
        </w:rPr>
        <w:t>Evaluation</w:t>
      </w:r>
      <w:proofErr w:type="spellEnd"/>
      <w:r w:rsidRPr="006905CE">
        <w:rPr>
          <w:rFonts w:ascii="Calibri" w:cs="Calibri"/>
        </w:rPr>
        <w:t xml:space="preserve"> </w:t>
      </w:r>
      <w:proofErr w:type="spellStart"/>
      <w:r w:rsidRPr="006905CE">
        <w:rPr>
          <w:rFonts w:ascii="Calibri" w:cs="Calibri"/>
        </w:rPr>
        <w:t>Systems</w:t>
      </w:r>
      <w:proofErr w:type="spellEnd"/>
      <w:r w:rsidRPr="006905CE">
        <w:rPr>
          <w:rFonts w:ascii="Calibri" w:cs="Calibri"/>
        </w:rPr>
        <w:t xml:space="preserve"> Test, and Brief-Balance </w:t>
      </w:r>
      <w:proofErr w:type="spellStart"/>
      <w:r w:rsidRPr="006905CE">
        <w:rPr>
          <w:rFonts w:ascii="Calibri" w:cs="Calibri"/>
        </w:rPr>
        <w:t>Evaluation</w:t>
      </w:r>
      <w:proofErr w:type="spellEnd"/>
      <w:r w:rsidRPr="006905CE">
        <w:rPr>
          <w:rFonts w:ascii="Calibri" w:cs="Calibri"/>
        </w:rPr>
        <w:t xml:space="preserve"> </w:t>
      </w:r>
      <w:proofErr w:type="spellStart"/>
      <w:r w:rsidRPr="006905CE">
        <w:rPr>
          <w:rFonts w:ascii="Calibri" w:cs="Calibri"/>
        </w:rPr>
        <w:t>Systems</w:t>
      </w:r>
      <w:proofErr w:type="spellEnd"/>
      <w:r w:rsidRPr="006905CE">
        <w:rPr>
          <w:rFonts w:ascii="Calibri" w:cs="Calibri"/>
        </w:rPr>
        <w:t xml:space="preserve"> Test in </w:t>
      </w:r>
      <w:proofErr w:type="spellStart"/>
      <w:r w:rsidRPr="006905CE">
        <w:rPr>
          <w:rFonts w:ascii="Calibri" w:cs="Calibri"/>
        </w:rPr>
        <w:t>Older</w:t>
      </w:r>
      <w:proofErr w:type="spellEnd"/>
      <w:r w:rsidRPr="006905CE">
        <w:rPr>
          <w:rFonts w:ascii="Calibri" w:cs="Calibri"/>
        </w:rPr>
        <w:t xml:space="preserve"> People Living in the Community. </w:t>
      </w:r>
      <w:r w:rsidRPr="006905CE">
        <w:rPr>
          <w:rFonts w:ascii="Calibri" w:cs="Calibri"/>
          <w:i/>
          <w:iCs/>
        </w:rPr>
        <w:t xml:space="preserve">Archives of Physical </w:t>
      </w:r>
      <w:proofErr w:type="spellStart"/>
      <w:r w:rsidRPr="006905CE">
        <w:rPr>
          <w:rFonts w:ascii="Calibri" w:cs="Calibri"/>
          <w:i/>
          <w:iCs/>
        </w:rPr>
        <w:t>Medicine</w:t>
      </w:r>
      <w:proofErr w:type="spellEnd"/>
      <w:r w:rsidRPr="006905CE">
        <w:rPr>
          <w:rFonts w:ascii="Calibri" w:cs="Calibri"/>
          <w:i/>
          <w:iCs/>
        </w:rPr>
        <w:t xml:space="preserve"> and </w:t>
      </w:r>
      <w:proofErr w:type="spellStart"/>
      <w:r w:rsidRPr="006905CE">
        <w:rPr>
          <w:rFonts w:ascii="Calibri" w:cs="Calibri"/>
          <w:i/>
          <w:iCs/>
        </w:rPr>
        <w:t>Rehabilitation</w:t>
      </w:r>
      <w:proofErr w:type="spellEnd"/>
      <w:r w:rsidRPr="006905CE">
        <w:rPr>
          <w:rFonts w:ascii="Calibri" w:cs="Calibri"/>
        </w:rPr>
        <w:t xml:space="preserve">, </w:t>
      </w:r>
      <w:r w:rsidRPr="006905CE">
        <w:rPr>
          <w:rFonts w:ascii="Calibri" w:cs="Calibri"/>
          <w:i/>
          <w:iCs/>
        </w:rPr>
        <w:t>97</w:t>
      </w:r>
      <w:r w:rsidRPr="006905CE">
        <w:rPr>
          <w:rFonts w:ascii="Calibri" w:cs="Calibri"/>
        </w:rPr>
        <w:t>(12), 2166-2173.e1. https://doi.org/10.1016/j.apmr.2016.07.011</w:t>
      </w:r>
    </w:p>
    <w:p w14:paraId="59133AC2" w14:textId="77777777" w:rsidR="006905CE" w:rsidRPr="006905CE" w:rsidRDefault="006905CE" w:rsidP="006905CE">
      <w:pPr>
        <w:pStyle w:val="Bibliographie"/>
        <w:rPr>
          <w:rFonts w:ascii="Calibri" w:cs="Calibri"/>
        </w:rPr>
      </w:pPr>
      <w:proofErr w:type="spellStart"/>
      <w:r w:rsidRPr="006905CE">
        <w:rPr>
          <w:rFonts w:ascii="Calibri" w:cs="Calibri"/>
        </w:rPr>
        <w:t>Massion</w:t>
      </w:r>
      <w:proofErr w:type="spellEnd"/>
      <w:r w:rsidRPr="006905CE">
        <w:rPr>
          <w:rFonts w:ascii="Calibri" w:cs="Calibri"/>
        </w:rPr>
        <w:t xml:space="preserve">, J. (1994). Postural control system. </w:t>
      </w:r>
      <w:proofErr w:type="spellStart"/>
      <w:r w:rsidRPr="006905CE">
        <w:rPr>
          <w:rFonts w:ascii="Calibri" w:cs="Calibri"/>
          <w:i/>
          <w:iCs/>
        </w:rPr>
        <w:t>Current</w:t>
      </w:r>
      <w:proofErr w:type="spellEnd"/>
      <w:r w:rsidRPr="006905CE">
        <w:rPr>
          <w:rFonts w:ascii="Calibri" w:cs="Calibri"/>
          <w:i/>
          <w:iCs/>
        </w:rPr>
        <w:t xml:space="preserve"> Opinion in </w:t>
      </w:r>
      <w:proofErr w:type="spellStart"/>
      <w:r w:rsidRPr="006905CE">
        <w:rPr>
          <w:rFonts w:ascii="Calibri" w:cs="Calibri"/>
          <w:i/>
          <w:iCs/>
        </w:rPr>
        <w:t>Neurobiology</w:t>
      </w:r>
      <w:proofErr w:type="spellEnd"/>
      <w:r w:rsidRPr="006905CE">
        <w:rPr>
          <w:rFonts w:ascii="Calibri" w:cs="Calibri"/>
        </w:rPr>
        <w:t xml:space="preserve">, </w:t>
      </w:r>
      <w:r w:rsidRPr="006905CE">
        <w:rPr>
          <w:rFonts w:ascii="Calibri" w:cs="Calibri"/>
          <w:i/>
          <w:iCs/>
        </w:rPr>
        <w:t>4</w:t>
      </w:r>
      <w:r w:rsidRPr="006905CE">
        <w:rPr>
          <w:rFonts w:ascii="Calibri" w:cs="Calibri"/>
        </w:rPr>
        <w:t>(6), 877</w:t>
      </w:r>
      <w:r w:rsidRPr="006905CE">
        <w:rPr>
          <w:rFonts w:ascii="Cambria Math" w:hAnsi="Cambria Math" w:cs="Cambria Math"/>
        </w:rPr>
        <w:t>‑</w:t>
      </w:r>
      <w:r w:rsidRPr="006905CE">
        <w:rPr>
          <w:rFonts w:ascii="Calibri" w:cs="Calibri"/>
        </w:rPr>
        <w:t>887. https://doi.org/10.1016/0959-4388(94)90137-6</w:t>
      </w:r>
    </w:p>
    <w:p w14:paraId="51C21910" w14:textId="77777777" w:rsidR="006905CE" w:rsidRPr="006905CE" w:rsidRDefault="006905CE" w:rsidP="006905CE">
      <w:pPr>
        <w:pStyle w:val="Bibliographie"/>
        <w:rPr>
          <w:rFonts w:ascii="Calibri" w:cs="Calibri"/>
        </w:rPr>
      </w:pPr>
      <w:r w:rsidRPr="006905CE">
        <w:rPr>
          <w:rFonts w:ascii="Calibri" w:cs="Calibri"/>
        </w:rPr>
        <w:t xml:space="preserve">Modèle de </w:t>
      </w:r>
      <w:proofErr w:type="spellStart"/>
      <w:r w:rsidRPr="006905CE">
        <w:rPr>
          <w:rFonts w:ascii="Calibri" w:cs="Calibri"/>
        </w:rPr>
        <w:t>Rasch</w:t>
      </w:r>
      <w:proofErr w:type="spellEnd"/>
      <w:r w:rsidRPr="006905CE">
        <w:rPr>
          <w:rFonts w:ascii="Calibri" w:cs="Calibri"/>
        </w:rPr>
        <w:t xml:space="preserve">. (2020). In </w:t>
      </w:r>
      <w:r w:rsidRPr="006905CE">
        <w:rPr>
          <w:rFonts w:ascii="Calibri" w:cs="Calibri"/>
          <w:i/>
          <w:iCs/>
        </w:rPr>
        <w:t>Wikipédia</w:t>
      </w:r>
      <w:r w:rsidRPr="006905CE">
        <w:rPr>
          <w:rFonts w:ascii="Calibri" w:cs="Calibri"/>
        </w:rPr>
        <w:t>. https://fr.wikipedia.org/w/index.php?title=Mod%C3%A8le_de_Rasch&amp;oldid=172519334</w:t>
      </w:r>
    </w:p>
    <w:p w14:paraId="1E486CEE" w14:textId="77777777" w:rsidR="006905CE" w:rsidRPr="006905CE" w:rsidRDefault="006905CE" w:rsidP="006905CE">
      <w:pPr>
        <w:pStyle w:val="Bibliographie"/>
        <w:rPr>
          <w:rFonts w:ascii="Calibri" w:cs="Calibri"/>
        </w:rPr>
      </w:pPr>
      <w:r w:rsidRPr="006905CE">
        <w:rPr>
          <w:rFonts w:ascii="Calibri" w:cs="Calibri"/>
        </w:rPr>
        <w:t xml:space="preserve">Mucchielli, R. (1993). </w:t>
      </w:r>
      <w:r w:rsidRPr="006905CE">
        <w:rPr>
          <w:rFonts w:ascii="Calibri" w:cs="Calibri"/>
          <w:i/>
          <w:iCs/>
        </w:rPr>
        <w:t>Questionnaire dans l’enquête psycho-sociale (Le)</w:t>
      </w:r>
      <w:r w:rsidRPr="006905CE">
        <w:rPr>
          <w:rFonts w:ascii="Calibri" w:cs="Calibri"/>
        </w:rPr>
        <w:t xml:space="preserve">. </w:t>
      </w:r>
      <w:proofErr w:type="spellStart"/>
      <w:r w:rsidRPr="006905CE">
        <w:rPr>
          <w:rFonts w:ascii="Calibri" w:cs="Calibri"/>
        </w:rPr>
        <w:t>Esf</w:t>
      </w:r>
      <w:proofErr w:type="spellEnd"/>
      <w:r w:rsidRPr="006905CE">
        <w:rPr>
          <w:rFonts w:ascii="Calibri" w:cs="Calibri"/>
        </w:rPr>
        <w:t xml:space="preserve"> </w:t>
      </w:r>
      <w:proofErr w:type="spellStart"/>
      <w:r w:rsidRPr="006905CE">
        <w:rPr>
          <w:rFonts w:ascii="Calibri" w:cs="Calibri"/>
        </w:rPr>
        <w:t>Editeur</w:t>
      </w:r>
      <w:proofErr w:type="spellEnd"/>
      <w:r w:rsidRPr="006905CE">
        <w:rPr>
          <w:rFonts w:ascii="Calibri" w:cs="Calibri"/>
        </w:rPr>
        <w:t>.</w:t>
      </w:r>
    </w:p>
    <w:p w14:paraId="5B87B270" w14:textId="77777777" w:rsidR="006905CE" w:rsidRPr="006905CE" w:rsidRDefault="006905CE" w:rsidP="006905CE">
      <w:pPr>
        <w:pStyle w:val="Bibliographie"/>
        <w:rPr>
          <w:rFonts w:ascii="Calibri" w:cs="Calibri"/>
        </w:rPr>
      </w:pPr>
      <w:r w:rsidRPr="006905CE">
        <w:rPr>
          <w:rFonts w:ascii="Calibri" w:cs="Calibri"/>
        </w:rPr>
        <w:t xml:space="preserve">ONU. (2019). </w:t>
      </w:r>
      <w:r w:rsidRPr="006905CE">
        <w:rPr>
          <w:rFonts w:ascii="Calibri" w:cs="Calibri"/>
          <w:i/>
          <w:iCs/>
        </w:rPr>
        <w:t xml:space="preserve">World Population </w:t>
      </w:r>
      <w:proofErr w:type="spellStart"/>
      <w:r w:rsidRPr="006905CE">
        <w:rPr>
          <w:rFonts w:ascii="Calibri" w:cs="Calibri"/>
          <w:i/>
          <w:iCs/>
        </w:rPr>
        <w:t>Ageing</w:t>
      </w:r>
      <w:proofErr w:type="spellEnd"/>
      <w:r w:rsidRPr="006905CE">
        <w:rPr>
          <w:rFonts w:ascii="Calibri" w:cs="Calibri"/>
          <w:i/>
          <w:iCs/>
        </w:rPr>
        <w:t xml:space="preserve"> 2019 : Highlights</w:t>
      </w:r>
      <w:r w:rsidRPr="006905CE">
        <w:rPr>
          <w:rFonts w:ascii="Calibri" w:cs="Calibri"/>
        </w:rPr>
        <w:t>.</w:t>
      </w:r>
    </w:p>
    <w:p w14:paraId="7FD55391" w14:textId="77777777" w:rsidR="006905CE" w:rsidRPr="006905CE" w:rsidRDefault="006905CE" w:rsidP="006905CE">
      <w:pPr>
        <w:pStyle w:val="Bibliographie"/>
        <w:rPr>
          <w:rFonts w:ascii="Calibri" w:cs="Calibri"/>
        </w:rPr>
      </w:pPr>
      <w:proofErr w:type="spellStart"/>
      <w:r w:rsidRPr="006905CE">
        <w:rPr>
          <w:rFonts w:ascii="Calibri" w:cs="Calibri"/>
        </w:rPr>
        <w:t>Owsley</w:t>
      </w:r>
      <w:proofErr w:type="spellEnd"/>
      <w:r w:rsidRPr="006905CE">
        <w:rPr>
          <w:rFonts w:ascii="Calibri" w:cs="Calibri"/>
        </w:rPr>
        <w:t xml:space="preserve">, C. (2011). </w:t>
      </w:r>
      <w:proofErr w:type="spellStart"/>
      <w:r w:rsidRPr="006905CE">
        <w:rPr>
          <w:rFonts w:ascii="Calibri" w:cs="Calibri"/>
        </w:rPr>
        <w:t>Aging</w:t>
      </w:r>
      <w:proofErr w:type="spellEnd"/>
      <w:r w:rsidRPr="006905CE">
        <w:rPr>
          <w:rFonts w:ascii="Calibri" w:cs="Calibri"/>
        </w:rPr>
        <w:t xml:space="preserve"> and vision. </w:t>
      </w:r>
      <w:r w:rsidRPr="006905CE">
        <w:rPr>
          <w:rFonts w:ascii="Calibri" w:cs="Calibri"/>
          <w:i/>
          <w:iCs/>
        </w:rPr>
        <w:t xml:space="preserve">Vision </w:t>
      </w:r>
      <w:proofErr w:type="spellStart"/>
      <w:r w:rsidRPr="006905CE">
        <w:rPr>
          <w:rFonts w:ascii="Calibri" w:cs="Calibri"/>
          <w:i/>
          <w:iCs/>
        </w:rPr>
        <w:t>Research</w:t>
      </w:r>
      <w:proofErr w:type="spellEnd"/>
      <w:r w:rsidRPr="006905CE">
        <w:rPr>
          <w:rFonts w:ascii="Calibri" w:cs="Calibri"/>
        </w:rPr>
        <w:t xml:space="preserve">, </w:t>
      </w:r>
      <w:r w:rsidRPr="006905CE">
        <w:rPr>
          <w:rFonts w:ascii="Calibri" w:cs="Calibri"/>
          <w:i/>
          <w:iCs/>
        </w:rPr>
        <w:t>51</w:t>
      </w:r>
      <w:r w:rsidRPr="006905CE">
        <w:rPr>
          <w:rFonts w:ascii="Calibri" w:cs="Calibri"/>
        </w:rPr>
        <w:t>(13), 1610</w:t>
      </w:r>
      <w:r w:rsidRPr="006905CE">
        <w:rPr>
          <w:rFonts w:ascii="Cambria Math" w:hAnsi="Cambria Math" w:cs="Cambria Math"/>
        </w:rPr>
        <w:t>‑</w:t>
      </w:r>
      <w:r w:rsidRPr="006905CE">
        <w:rPr>
          <w:rFonts w:ascii="Calibri" w:cs="Calibri"/>
        </w:rPr>
        <w:t>1622. https://doi.org/10.1016/j.visres.2010.10.020</w:t>
      </w:r>
    </w:p>
    <w:p w14:paraId="35F3DC8F" w14:textId="77777777" w:rsidR="006905CE" w:rsidRPr="006905CE" w:rsidRDefault="006905CE" w:rsidP="006905CE">
      <w:pPr>
        <w:pStyle w:val="Bibliographie"/>
        <w:rPr>
          <w:rFonts w:ascii="Calibri" w:cs="Calibri"/>
        </w:rPr>
      </w:pPr>
      <w:r w:rsidRPr="006905CE">
        <w:rPr>
          <w:rFonts w:ascii="Calibri" w:cs="Calibri"/>
        </w:rPr>
        <w:t xml:space="preserve">Papon &amp; </w:t>
      </w:r>
      <w:proofErr w:type="spellStart"/>
      <w:r w:rsidRPr="006905CE">
        <w:rPr>
          <w:rFonts w:ascii="Calibri" w:cs="Calibri"/>
        </w:rPr>
        <w:t>Beaumel</w:t>
      </w:r>
      <w:proofErr w:type="spellEnd"/>
      <w:r w:rsidRPr="006905CE">
        <w:rPr>
          <w:rFonts w:ascii="Calibri" w:cs="Calibri"/>
        </w:rPr>
        <w:t xml:space="preserve">. (2021). </w:t>
      </w:r>
      <w:r w:rsidRPr="006905CE">
        <w:rPr>
          <w:rFonts w:ascii="Calibri" w:cs="Calibri"/>
          <w:i/>
          <w:iCs/>
        </w:rPr>
        <w:t>Avec la pandémie de Covid-19, nette baisse de l’espérance de vie et chute du nombre de mariages</w:t>
      </w:r>
      <w:r w:rsidRPr="006905CE">
        <w:rPr>
          <w:rFonts w:ascii="Calibri" w:cs="Calibri"/>
        </w:rPr>
        <w:t>.</w:t>
      </w:r>
    </w:p>
    <w:p w14:paraId="67612F97" w14:textId="77777777" w:rsidR="006905CE" w:rsidRPr="006905CE" w:rsidRDefault="006905CE" w:rsidP="006905CE">
      <w:pPr>
        <w:pStyle w:val="Bibliographie"/>
        <w:rPr>
          <w:rFonts w:ascii="Calibri" w:cs="Calibri"/>
        </w:rPr>
      </w:pPr>
      <w:proofErr w:type="spellStart"/>
      <w:r w:rsidRPr="006905CE">
        <w:rPr>
          <w:rFonts w:ascii="Calibri" w:cs="Calibri"/>
        </w:rPr>
        <w:t>Parizot</w:t>
      </w:r>
      <w:proofErr w:type="spellEnd"/>
      <w:r w:rsidRPr="006905CE">
        <w:rPr>
          <w:rFonts w:ascii="Calibri" w:cs="Calibri"/>
        </w:rPr>
        <w:t xml:space="preserve">, I. (2012). 5 – L’enquête par questionnaire. In </w:t>
      </w:r>
      <w:r w:rsidRPr="006905CE">
        <w:rPr>
          <w:rFonts w:ascii="Calibri" w:cs="Calibri"/>
          <w:i/>
          <w:iCs/>
        </w:rPr>
        <w:t>L’enquête sociologique</w:t>
      </w:r>
      <w:r w:rsidRPr="006905CE">
        <w:rPr>
          <w:rFonts w:ascii="Calibri" w:cs="Calibri"/>
        </w:rPr>
        <w:t xml:space="preserve"> (p. 93</w:t>
      </w:r>
      <w:r w:rsidRPr="006905CE">
        <w:rPr>
          <w:rFonts w:ascii="Cambria Math" w:hAnsi="Cambria Math" w:cs="Cambria Math"/>
        </w:rPr>
        <w:t>‑</w:t>
      </w:r>
      <w:r w:rsidRPr="006905CE">
        <w:rPr>
          <w:rFonts w:ascii="Calibri" w:cs="Calibri"/>
        </w:rPr>
        <w:t>113). Presses Universitaires de France. https://doi.org/10.3917/puf.paug.2012.01.0093</w:t>
      </w:r>
    </w:p>
    <w:p w14:paraId="166BA54D" w14:textId="77777777" w:rsidR="006905CE" w:rsidRPr="006905CE" w:rsidRDefault="006905CE" w:rsidP="006905CE">
      <w:pPr>
        <w:pStyle w:val="Bibliographie"/>
        <w:rPr>
          <w:rFonts w:ascii="Calibri" w:cs="Calibri"/>
        </w:rPr>
      </w:pPr>
      <w:proofErr w:type="spellStart"/>
      <w:r w:rsidRPr="006905CE">
        <w:rPr>
          <w:rFonts w:ascii="Calibri" w:cs="Calibri"/>
        </w:rPr>
        <w:lastRenderedPageBreak/>
        <w:t>Piasecki</w:t>
      </w:r>
      <w:proofErr w:type="spellEnd"/>
      <w:r w:rsidRPr="006905CE">
        <w:rPr>
          <w:rFonts w:ascii="Calibri" w:cs="Calibri"/>
        </w:rPr>
        <w:t xml:space="preserve">, M., Ireland, A., </w:t>
      </w:r>
      <w:proofErr w:type="spellStart"/>
      <w:r w:rsidRPr="006905CE">
        <w:rPr>
          <w:rFonts w:ascii="Calibri" w:cs="Calibri"/>
        </w:rPr>
        <w:t>Stashuk</w:t>
      </w:r>
      <w:proofErr w:type="spellEnd"/>
      <w:r w:rsidRPr="006905CE">
        <w:rPr>
          <w:rFonts w:ascii="Calibri" w:cs="Calibri"/>
        </w:rPr>
        <w:t xml:space="preserve">, D., Hamilton‐Wright, A., Jones, D. A., &amp; </w:t>
      </w:r>
      <w:proofErr w:type="spellStart"/>
      <w:r w:rsidRPr="006905CE">
        <w:rPr>
          <w:rFonts w:ascii="Calibri" w:cs="Calibri"/>
        </w:rPr>
        <w:t>McPhee</w:t>
      </w:r>
      <w:proofErr w:type="spellEnd"/>
      <w:r w:rsidRPr="006905CE">
        <w:rPr>
          <w:rFonts w:ascii="Calibri" w:cs="Calibri"/>
        </w:rPr>
        <w:t>, J. S. (2016a). Age‐</w:t>
      </w:r>
      <w:proofErr w:type="spellStart"/>
      <w:r w:rsidRPr="006905CE">
        <w:rPr>
          <w:rFonts w:ascii="Calibri" w:cs="Calibri"/>
        </w:rPr>
        <w:t>related</w:t>
      </w:r>
      <w:proofErr w:type="spellEnd"/>
      <w:r w:rsidRPr="006905CE">
        <w:rPr>
          <w:rFonts w:ascii="Calibri" w:cs="Calibri"/>
        </w:rPr>
        <w:t xml:space="preserve"> </w:t>
      </w:r>
      <w:proofErr w:type="spellStart"/>
      <w:r w:rsidRPr="006905CE">
        <w:rPr>
          <w:rFonts w:ascii="Calibri" w:cs="Calibri"/>
        </w:rPr>
        <w:t>neuromuscular</w:t>
      </w:r>
      <w:proofErr w:type="spellEnd"/>
      <w:r w:rsidRPr="006905CE">
        <w:rPr>
          <w:rFonts w:ascii="Calibri" w:cs="Calibri"/>
        </w:rPr>
        <w:t xml:space="preserve"> changes </w:t>
      </w:r>
      <w:proofErr w:type="spellStart"/>
      <w:r w:rsidRPr="006905CE">
        <w:rPr>
          <w:rFonts w:ascii="Calibri" w:cs="Calibri"/>
        </w:rPr>
        <w:t>affecting</w:t>
      </w:r>
      <w:proofErr w:type="spellEnd"/>
      <w:r w:rsidRPr="006905CE">
        <w:rPr>
          <w:rFonts w:ascii="Calibri" w:cs="Calibri"/>
        </w:rPr>
        <w:t xml:space="preserve"> </w:t>
      </w:r>
      <w:proofErr w:type="spellStart"/>
      <w:r w:rsidRPr="006905CE">
        <w:rPr>
          <w:rFonts w:ascii="Calibri" w:cs="Calibri"/>
        </w:rPr>
        <w:t>human</w:t>
      </w:r>
      <w:proofErr w:type="spellEnd"/>
      <w:r w:rsidRPr="006905CE">
        <w:rPr>
          <w:rFonts w:ascii="Calibri" w:cs="Calibri"/>
        </w:rPr>
        <w:t xml:space="preserve"> </w:t>
      </w:r>
      <w:proofErr w:type="spellStart"/>
      <w:r w:rsidRPr="006905CE">
        <w:rPr>
          <w:rFonts w:ascii="Calibri" w:cs="Calibri"/>
        </w:rPr>
        <w:t>vastus</w:t>
      </w:r>
      <w:proofErr w:type="spellEnd"/>
      <w:r w:rsidRPr="006905CE">
        <w:rPr>
          <w:rFonts w:ascii="Calibri" w:cs="Calibri"/>
        </w:rPr>
        <w:t xml:space="preserve"> </w:t>
      </w:r>
      <w:proofErr w:type="spellStart"/>
      <w:r w:rsidRPr="006905CE">
        <w:rPr>
          <w:rFonts w:ascii="Calibri" w:cs="Calibri"/>
        </w:rPr>
        <w:t>lateralis</w:t>
      </w:r>
      <w:proofErr w:type="spellEnd"/>
      <w:r w:rsidRPr="006905CE">
        <w:rPr>
          <w:rFonts w:ascii="Calibri" w:cs="Calibri"/>
        </w:rPr>
        <w:t xml:space="preserve">. </w:t>
      </w:r>
      <w:r w:rsidRPr="006905CE">
        <w:rPr>
          <w:rFonts w:ascii="Calibri" w:cs="Calibri"/>
          <w:i/>
          <w:iCs/>
        </w:rPr>
        <w:t xml:space="preserve">The Journal of </w:t>
      </w:r>
      <w:proofErr w:type="spellStart"/>
      <w:r w:rsidRPr="006905CE">
        <w:rPr>
          <w:rFonts w:ascii="Calibri" w:cs="Calibri"/>
          <w:i/>
          <w:iCs/>
        </w:rPr>
        <w:t>Physiology</w:t>
      </w:r>
      <w:proofErr w:type="spellEnd"/>
      <w:r w:rsidRPr="006905CE">
        <w:rPr>
          <w:rFonts w:ascii="Calibri" w:cs="Calibri"/>
        </w:rPr>
        <w:t xml:space="preserve">, </w:t>
      </w:r>
      <w:r w:rsidRPr="006905CE">
        <w:rPr>
          <w:rFonts w:ascii="Calibri" w:cs="Calibri"/>
          <w:i/>
          <w:iCs/>
        </w:rPr>
        <w:t>594</w:t>
      </w:r>
      <w:r w:rsidRPr="006905CE">
        <w:rPr>
          <w:rFonts w:ascii="Calibri" w:cs="Calibri"/>
        </w:rPr>
        <w:t>(16), 4525</w:t>
      </w:r>
      <w:r w:rsidRPr="006905CE">
        <w:rPr>
          <w:rFonts w:ascii="Cambria Math" w:hAnsi="Cambria Math" w:cs="Cambria Math"/>
        </w:rPr>
        <w:t>‑</w:t>
      </w:r>
      <w:r w:rsidRPr="006905CE">
        <w:rPr>
          <w:rFonts w:ascii="Calibri" w:cs="Calibri"/>
        </w:rPr>
        <w:t>4536. https://doi.org/10.1113/JP271087</w:t>
      </w:r>
    </w:p>
    <w:p w14:paraId="3A558331" w14:textId="77777777" w:rsidR="006905CE" w:rsidRPr="006905CE" w:rsidRDefault="006905CE" w:rsidP="006905CE">
      <w:pPr>
        <w:pStyle w:val="Bibliographie"/>
        <w:rPr>
          <w:rFonts w:ascii="Calibri" w:cs="Calibri"/>
        </w:rPr>
      </w:pPr>
      <w:r w:rsidRPr="006905CE">
        <w:rPr>
          <w:rFonts w:ascii="Calibri" w:cs="Calibri"/>
        </w:rPr>
        <w:t xml:space="preserve">Pichon. (2023). </w:t>
      </w:r>
      <w:r w:rsidRPr="006905CE">
        <w:rPr>
          <w:rFonts w:ascii="Calibri" w:cs="Calibri"/>
          <w:i/>
          <w:iCs/>
        </w:rPr>
        <w:t>Atteinte du contrôle postural chez les personnes avec BPCO : modifications, caractéristiques et activités de la vie quotidienne.</w:t>
      </w:r>
    </w:p>
    <w:p w14:paraId="7D96BFF2" w14:textId="77777777" w:rsidR="006905CE" w:rsidRPr="006905CE" w:rsidRDefault="006905CE" w:rsidP="006905CE">
      <w:pPr>
        <w:pStyle w:val="Bibliographie"/>
        <w:rPr>
          <w:rFonts w:ascii="Calibri" w:cs="Calibri"/>
        </w:rPr>
      </w:pPr>
      <w:r w:rsidRPr="006905CE">
        <w:rPr>
          <w:rFonts w:ascii="Calibri" w:cs="Calibri"/>
          <w:i/>
          <w:iCs/>
        </w:rPr>
        <w:t>Plan antichute des personnes âgées</w:t>
      </w:r>
      <w:r w:rsidRPr="006905CE">
        <w:rPr>
          <w:rFonts w:ascii="Calibri" w:cs="Calibri"/>
        </w:rPr>
        <w:t>. (2022, février 21). https://solidarites.gouv.fr/plan-antichute-des-personnes-agees</w:t>
      </w:r>
    </w:p>
    <w:p w14:paraId="1B4E9C41" w14:textId="77777777" w:rsidR="006905CE" w:rsidRPr="006905CE" w:rsidRDefault="006905CE" w:rsidP="006905CE">
      <w:pPr>
        <w:pStyle w:val="Bibliographie"/>
        <w:rPr>
          <w:rFonts w:ascii="Calibri" w:cs="Calibri"/>
        </w:rPr>
      </w:pPr>
      <w:proofErr w:type="spellStart"/>
      <w:r w:rsidRPr="006905CE">
        <w:rPr>
          <w:rFonts w:ascii="Calibri" w:cs="Calibri"/>
        </w:rPr>
        <w:t>Podsiadlo</w:t>
      </w:r>
      <w:proofErr w:type="spellEnd"/>
      <w:r w:rsidRPr="006905CE">
        <w:rPr>
          <w:rFonts w:ascii="Calibri" w:cs="Calibri"/>
        </w:rPr>
        <w:t xml:space="preserve">, D., &amp; Richardson, S. (1991). The </w:t>
      </w:r>
      <w:proofErr w:type="spellStart"/>
      <w:r w:rsidRPr="006905CE">
        <w:rPr>
          <w:rFonts w:ascii="Calibri" w:cs="Calibri"/>
        </w:rPr>
        <w:t>timed</w:t>
      </w:r>
      <w:proofErr w:type="spellEnd"/>
      <w:r w:rsidRPr="006905CE">
        <w:rPr>
          <w:rFonts w:ascii="Calibri" w:cs="Calibri"/>
        </w:rPr>
        <w:t xml:space="preserve"> « Up &amp; Go » : A test of basic </w:t>
      </w:r>
      <w:proofErr w:type="spellStart"/>
      <w:r w:rsidRPr="006905CE">
        <w:rPr>
          <w:rFonts w:ascii="Calibri" w:cs="Calibri"/>
        </w:rPr>
        <w:t>functional</w:t>
      </w:r>
      <w:proofErr w:type="spellEnd"/>
      <w:r w:rsidRPr="006905CE">
        <w:rPr>
          <w:rFonts w:ascii="Calibri" w:cs="Calibri"/>
        </w:rPr>
        <w:t xml:space="preserve"> </w:t>
      </w:r>
      <w:proofErr w:type="spellStart"/>
      <w:r w:rsidRPr="006905CE">
        <w:rPr>
          <w:rFonts w:ascii="Calibri" w:cs="Calibri"/>
        </w:rPr>
        <w:t>mobility</w:t>
      </w:r>
      <w:proofErr w:type="spellEnd"/>
      <w:r w:rsidRPr="006905CE">
        <w:rPr>
          <w:rFonts w:ascii="Calibri" w:cs="Calibri"/>
        </w:rPr>
        <w:t xml:space="preserve"> for </w:t>
      </w:r>
      <w:proofErr w:type="spellStart"/>
      <w:r w:rsidRPr="006905CE">
        <w:rPr>
          <w:rFonts w:ascii="Calibri" w:cs="Calibri"/>
        </w:rPr>
        <w:t>frail</w:t>
      </w:r>
      <w:proofErr w:type="spellEnd"/>
      <w:r w:rsidRPr="006905CE">
        <w:rPr>
          <w:rFonts w:ascii="Calibri" w:cs="Calibri"/>
        </w:rPr>
        <w:t xml:space="preserve"> </w:t>
      </w:r>
      <w:proofErr w:type="spellStart"/>
      <w:r w:rsidRPr="006905CE">
        <w:rPr>
          <w:rFonts w:ascii="Calibri" w:cs="Calibri"/>
        </w:rPr>
        <w:t>elderly</w:t>
      </w:r>
      <w:proofErr w:type="spellEnd"/>
      <w:r w:rsidRPr="006905CE">
        <w:rPr>
          <w:rFonts w:ascii="Calibri" w:cs="Calibri"/>
        </w:rPr>
        <w:t xml:space="preserve"> </w:t>
      </w:r>
      <w:proofErr w:type="spellStart"/>
      <w:r w:rsidRPr="006905CE">
        <w:rPr>
          <w:rFonts w:ascii="Calibri" w:cs="Calibri"/>
        </w:rPr>
        <w:t>persons</w:t>
      </w:r>
      <w:proofErr w:type="spellEnd"/>
      <w:r w:rsidRPr="006905CE">
        <w:rPr>
          <w:rFonts w:ascii="Calibri" w:cs="Calibri"/>
        </w:rPr>
        <w:t xml:space="preserve">. </w:t>
      </w:r>
      <w:r w:rsidRPr="006905CE">
        <w:rPr>
          <w:rFonts w:ascii="Calibri" w:cs="Calibri"/>
          <w:i/>
          <w:iCs/>
        </w:rPr>
        <w:t xml:space="preserve">Journal of the American </w:t>
      </w:r>
      <w:proofErr w:type="spellStart"/>
      <w:r w:rsidRPr="006905CE">
        <w:rPr>
          <w:rFonts w:ascii="Calibri" w:cs="Calibri"/>
          <w:i/>
          <w:iCs/>
        </w:rPr>
        <w:t>Geriatrics</w:t>
      </w:r>
      <w:proofErr w:type="spellEnd"/>
      <w:r w:rsidRPr="006905CE">
        <w:rPr>
          <w:rFonts w:ascii="Calibri" w:cs="Calibri"/>
          <w:i/>
          <w:iCs/>
        </w:rPr>
        <w:t xml:space="preserve"> Society</w:t>
      </w:r>
      <w:r w:rsidRPr="006905CE">
        <w:rPr>
          <w:rFonts w:ascii="Calibri" w:cs="Calibri"/>
        </w:rPr>
        <w:t xml:space="preserve">, </w:t>
      </w:r>
      <w:r w:rsidRPr="006905CE">
        <w:rPr>
          <w:rFonts w:ascii="Calibri" w:cs="Calibri"/>
          <w:i/>
          <w:iCs/>
        </w:rPr>
        <w:t>39</w:t>
      </w:r>
      <w:r w:rsidRPr="006905CE">
        <w:rPr>
          <w:rFonts w:ascii="Calibri" w:cs="Calibri"/>
        </w:rPr>
        <w:t>(2), 142</w:t>
      </w:r>
      <w:r w:rsidRPr="006905CE">
        <w:rPr>
          <w:rFonts w:ascii="Cambria Math" w:hAnsi="Cambria Math" w:cs="Cambria Math"/>
        </w:rPr>
        <w:t>‑</w:t>
      </w:r>
      <w:r w:rsidRPr="006905CE">
        <w:rPr>
          <w:rFonts w:ascii="Calibri" w:cs="Calibri"/>
        </w:rPr>
        <w:t>148. https://doi.org/10.1111/j.1532-5415.1991.tb01616.x</w:t>
      </w:r>
    </w:p>
    <w:p w14:paraId="31CD2E53" w14:textId="77777777" w:rsidR="006905CE" w:rsidRPr="006905CE" w:rsidRDefault="006905CE" w:rsidP="006905CE">
      <w:pPr>
        <w:pStyle w:val="Bibliographie"/>
        <w:rPr>
          <w:rFonts w:ascii="Calibri" w:cs="Calibri"/>
        </w:rPr>
      </w:pPr>
      <w:proofErr w:type="spellStart"/>
      <w:r w:rsidRPr="006905CE">
        <w:rPr>
          <w:rFonts w:ascii="Calibri" w:cs="Calibri"/>
        </w:rPr>
        <w:t>Poiraudeau</w:t>
      </w:r>
      <w:proofErr w:type="spellEnd"/>
      <w:r w:rsidRPr="006905CE">
        <w:rPr>
          <w:rFonts w:ascii="Calibri" w:cs="Calibri"/>
        </w:rPr>
        <w:t xml:space="preserve">, S. (2004). Guide des outils de mesure et d’évaluation en médecine physique et de réadaptation : Par François </w:t>
      </w:r>
      <w:proofErr w:type="spellStart"/>
      <w:r w:rsidRPr="006905CE">
        <w:rPr>
          <w:rFonts w:ascii="Calibri" w:cs="Calibri"/>
        </w:rPr>
        <w:t>Béthoux</w:t>
      </w:r>
      <w:proofErr w:type="spellEnd"/>
      <w:r w:rsidRPr="006905CE">
        <w:rPr>
          <w:rFonts w:ascii="Calibri" w:cs="Calibri"/>
        </w:rPr>
        <w:t xml:space="preserve"> et Paul </w:t>
      </w:r>
      <w:proofErr w:type="spellStart"/>
      <w:r w:rsidRPr="006905CE">
        <w:rPr>
          <w:rFonts w:ascii="Calibri" w:cs="Calibri"/>
        </w:rPr>
        <w:t>Calmels</w:t>
      </w:r>
      <w:proofErr w:type="spellEnd"/>
      <w:r w:rsidRPr="006905CE">
        <w:rPr>
          <w:rFonts w:ascii="Calibri" w:cs="Calibri"/>
        </w:rPr>
        <w:t xml:space="preserve">, Éditions Frison-Roche, 75006 Paris. </w:t>
      </w:r>
      <w:r w:rsidRPr="006905CE">
        <w:rPr>
          <w:rFonts w:ascii="Calibri" w:cs="Calibri"/>
          <w:i/>
          <w:iCs/>
        </w:rPr>
        <w:t>Annales de Réadaptation et de Médecine Physique</w:t>
      </w:r>
      <w:r w:rsidRPr="006905CE">
        <w:rPr>
          <w:rFonts w:ascii="Calibri" w:cs="Calibri"/>
        </w:rPr>
        <w:t xml:space="preserve">, </w:t>
      </w:r>
      <w:r w:rsidRPr="006905CE">
        <w:rPr>
          <w:rFonts w:ascii="Calibri" w:cs="Calibri"/>
          <w:i/>
          <w:iCs/>
        </w:rPr>
        <w:t>47</w:t>
      </w:r>
      <w:r w:rsidRPr="006905CE">
        <w:rPr>
          <w:rFonts w:ascii="Calibri" w:cs="Calibri"/>
        </w:rPr>
        <w:t>, 131. https://doi.org/10.1016/j.annrmp.2004.01.003</w:t>
      </w:r>
    </w:p>
    <w:p w14:paraId="2776EF49" w14:textId="77777777" w:rsidR="006905CE" w:rsidRPr="006905CE" w:rsidRDefault="006905CE" w:rsidP="006905CE">
      <w:pPr>
        <w:pStyle w:val="Bibliographie"/>
        <w:rPr>
          <w:rFonts w:ascii="Calibri" w:cs="Calibri"/>
        </w:rPr>
      </w:pPr>
      <w:r w:rsidRPr="006905CE">
        <w:rPr>
          <w:rFonts w:ascii="Calibri" w:cs="Calibri"/>
        </w:rPr>
        <w:t xml:space="preserve">Rivier, E., Krieg, M.-A., &amp; Lamy, O. (2011). La sarcopénie : Définition, méthodes de mesure, avenir thérapeutique. </w:t>
      </w:r>
      <w:proofErr w:type="spellStart"/>
      <w:r w:rsidRPr="006905CE">
        <w:rPr>
          <w:rFonts w:ascii="Calibri" w:cs="Calibri"/>
          <w:i/>
          <w:iCs/>
        </w:rPr>
        <w:t>Rev</w:t>
      </w:r>
      <w:proofErr w:type="spellEnd"/>
      <w:r w:rsidRPr="006905CE">
        <w:rPr>
          <w:rFonts w:ascii="Calibri" w:cs="Calibri"/>
          <w:i/>
          <w:iCs/>
        </w:rPr>
        <w:t xml:space="preserve"> Med Suisse</w:t>
      </w:r>
      <w:r w:rsidRPr="006905CE">
        <w:rPr>
          <w:rFonts w:ascii="Calibri" w:cs="Calibri"/>
        </w:rPr>
        <w:t xml:space="preserve">, </w:t>
      </w:r>
      <w:r w:rsidRPr="006905CE">
        <w:rPr>
          <w:rFonts w:ascii="Calibri" w:cs="Calibri"/>
          <w:i/>
          <w:iCs/>
        </w:rPr>
        <w:t>294</w:t>
      </w:r>
      <w:r w:rsidRPr="006905CE">
        <w:rPr>
          <w:rFonts w:ascii="Calibri" w:cs="Calibri"/>
        </w:rPr>
        <w:t>(18), 1047</w:t>
      </w:r>
      <w:r w:rsidRPr="006905CE">
        <w:rPr>
          <w:rFonts w:ascii="Cambria Math" w:hAnsi="Cambria Math" w:cs="Cambria Math"/>
        </w:rPr>
        <w:t>‑</w:t>
      </w:r>
      <w:r w:rsidRPr="006905CE">
        <w:rPr>
          <w:rFonts w:ascii="Calibri" w:cs="Calibri"/>
        </w:rPr>
        <w:t>1048.</w:t>
      </w:r>
    </w:p>
    <w:p w14:paraId="18C681CA" w14:textId="77777777" w:rsidR="006905CE" w:rsidRPr="006905CE" w:rsidRDefault="006905CE" w:rsidP="006905CE">
      <w:pPr>
        <w:pStyle w:val="Bibliographie"/>
        <w:rPr>
          <w:rFonts w:ascii="Calibri" w:cs="Calibri"/>
        </w:rPr>
      </w:pPr>
      <w:r w:rsidRPr="006905CE">
        <w:rPr>
          <w:rFonts w:ascii="Calibri" w:cs="Calibri"/>
        </w:rPr>
        <w:t xml:space="preserve">Robert. (2017). </w:t>
      </w:r>
      <w:r w:rsidRPr="006905CE">
        <w:rPr>
          <w:rFonts w:ascii="Calibri" w:cs="Calibri"/>
          <w:i/>
          <w:iCs/>
        </w:rPr>
        <w:t>Traitement physiologique de l’information visuelle</w:t>
      </w:r>
      <w:r w:rsidRPr="006905CE">
        <w:rPr>
          <w:rFonts w:ascii="Calibri" w:cs="Calibri"/>
        </w:rPr>
        <w:t>.</w:t>
      </w:r>
    </w:p>
    <w:p w14:paraId="126DD3B0" w14:textId="77777777" w:rsidR="006905CE" w:rsidRPr="006905CE" w:rsidRDefault="006905CE" w:rsidP="006905CE">
      <w:pPr>
        <w:pStyle w:val="Bibliographie"/>
        <w:rPr>
          <w:rFonts w:ascii="Calibri" w:cs="Calibri"/>
        </w:rPr>
      </w:pPr>
      <w:r w:rsidRPr="006905CE">
        <w:rPr>
          <w:rFonts w:ascii="Calibri" w:cs="Calibri"/>
        </w:rPr>
        <w:t xml:space="preserve">Rowe, J. W., &amp; Kahn, R. L. (1997). </w:t>
      </w:r>
      <w:proofErr w:type="spellStart"/>
      <w:r w:rsidRPr="006905CE">
        <w:rPr>
          <w:rFonts w:ascii="Calibri" w:cs="Calibri"/>
        </w:rPr>
        <w:t>Successful</w:t>
      </w:r>
      <w:proofErr w:type="spellEnd"/>
      <w:r w:rsidRPr="006905CE">
        <w:rPr>
          <w:rFonts w:ascii="Calibri" w:cs="Calibri"/>
        </w:rPr>
        <w:t xml:space="preserve"> </w:t>
      </w:r>
      <w:proofErr w:type="spellStart"/>
      <w:r w:rsidRPr="006905CE">
        <w:rPr>
          <w:rFonts w:ascii="Calibri" w:cs="Calibri"/>
        </w:rPr>
        <w:t>aging</w:t>
      </w:r>
      <w:proofErr w:type="spellEnd"/>
      <w:r w:rsidRPr="006905CE">
        <w:rPr>
          <w:rFonts w:ascii="Calibri" w:cs="Calibri"/>
        </w:rPr>
        <w:t xml:space="preserve">. </w:t>
      </w:r>
      <w:r w:rsidRPr="006905CE">
        <w:rPr>
          <w:rFonts w:ascii="Calibri" w:cs="Calibri"/>
          <w:i/>
          <w:iCs/>
        </w:rPr>
        <w:t xml:space="preserve">The </w:t>
      </w:r>
      <w:proofErr w:type="spellStart"/>
      <w:r w:rsidRPr="006905CE">
        <w:rPr>
          <w:rFonts w:ascii="Calibri" w:cs="Calibri"/>
          <w:i/>
          <w:iCs/>
        </w:rPr>
        <w:t>Gerontologist</w:t>
      </w:r>
      <w:proofErr w:type="spellEnd"/>
      <w:r w:rsidRPr="006905CE">
        <w:rPr>
          <w:rFonts w:ascii="Calibri" w:cs="Calibri"/>
        </w:rPr>
        <w:t xml:space="preserve">, </w:t>
      </w:r>
      <w:r w:rsidRPr="006905CE">
        <w:rPr>
          <w:rFonts w:ascii="Calibri" w:cs="Calibri"/>
          <w:i/>
          <w:iCs/>
        </w:rPr>
        <w:t>37</w:t>
      </w:r>
      <w:r w:rsidRPr="006905CE">
        <w:rPr>
          <w:rFonts w:ascii="Calibri" w:cs="Calibri"/>
        </w:rPr>
        <w:t>(4), 433</w:t>
      </w:r>
      <w:r w:rsidRPr="006905CE">
        <w:rPr>
          <w:rFonts w:ascii="Cambria Math" w:hAnsi="Cambria Math" w:cs="Cambria Math"/>
        </w:rPr>
        <w:t>‑</w:t>
      </w:r>
      <w:r w:rsidRPr="006905CE">
        <w:rPr>
          <w:rFonts w:ascii="Calibri" w:cs="Calibri"/>
        </w:rPr>
        <w:t>440. https://doi.org/10.1093/geront/37.4.433</w:t>
      </w:r>
    </w:p>
    <w:p w14:paraId="1A5ECE59" w14:textId="77777777" w:rsidR="006905CE" w:rsidRPr="006905CE" w:rsidRDefault="006905CE" w:rsidP="006905CE">
      <w:pPr>
        <w:pStyle w:val="Bibliographie"/>
        <w:rPr>
          <w:rFonts w:ascii="Calibri" w:cs="Calibri"/>
        </w:rPr>
      </w:pPr>
      <w:proofErr w:type="spellStart"/>
      <w:r w:rsidRPr="006905CE">
        <w:rPr>
          <w:rFonts w:ascii="Calibri" w:cs="Calibri"/>
        </w:rPr>
        <w:t>Rubenstein</w:t>
      </w:r>
      <w:proofErr w:type="spellEnd"/>
      <w:r w:rsidRPr="006905CE">
        <w:rPr>
          <w:rFonts w:ascii="Calibri" w:cs="Calibri"/>
        </w:rPr>
        <w:t xml:space="preserve">, L. Z. (2006). </w:t>
      </w:r>
      <w:proofErr w:type="spellStart"/>
      <w:r w:rsidRPr="006905CE">
        <w:rPr>
          <w:rFonts w:ascii="Calibri" w:cs="Calibri"/>
        </w:rPr>
        <w:t>Falls</w:t>
      </w:r>
      <w:proofErr w:type="spellEnd"/>
      <w:r w:rsidRPr="006905CE">
        <w:rPr>
          <w:rFonts w:ascii="Calibri" w:cs="Calibri"/>
        </w:rPr>
        <w:t xml:space="preserve"> in </w:t>
      </w:r>
      <w:proofErr w:type="spellStart"/>
      <w:r w:rsidRPr="006905CE">
        <w:rPr>
          <w:rFonts w:ascii="Calibri" w:cs="Calibri"/>
        </w:rPr>
        <w:t>older</w:t>
      </w:r>
      <w:proofErr w:type="spellEnd"/>
      <w:r w:rsidRPr="006905CE">
        <w:rPr>
          <w:rFonts w:ascii="Calibri" w:cs="Calibri"/>
        </w:rPr>
        <w:t xml:space="preserve"> people : </w:t>
      </w:r>
      <w:proofErr w:type="spellStart"/>
      <w:r w:rsidRPr="006905CE">
        <w:rPr>
          <w:rFonts w:ascii="Calibri" w:cs="Calibri"/>
        </w:rPr>
        <w:t>Epidemiology</w:t>
      </w:r>
      <w:proofErr w:type="spellEnd"/>
      <w:r w:rsidRPr="006905CE">
        <w:rPr>
          <w:rFonts w:ascii="Calibri" w:cs="Calibri"/>
        </w:rPr>
        <w:t xml:space="preserve">, </w:t>
      </w:r>
      <w:proofErr w:type="spellStart"/>
      <w:r w:rsidRPr="006905CE">
        <w:rPr>
          <w:rFonts w:ascii="Calibri" w:cs="Calibri"/>
        </w:rPr>
        <w:t>risk</w:t>
      </w:r>
      <w:proofErr w:type="spellEnd"/>
      <w:r w:rsidRPr="006905CE">
        <w:rPr>
          <w:rFonts w:ascii="Calibri" w:cs="Calibri"/>
        </w:rPr>
        <w:t xml:space="preserve"> </w:t>
      </w:r>
      <w:proofErr w:type="spellStart"/>
      <w:r w:rsidRPr="006905CE">
        <w:rPr>
          <w:rFonts w:ascii="Calibri" w:cs="Calibri"/>
        </w:rPr>
        <w:t>factors</w:t>
      </w:r>
      <w:proofErr w:type="spellEnd"/>
      <w:r w:rsidRPr="006905CE">
        <w:rPr>
          <w:rFonts w:ascii="Calibri" w:cs="Calibri"/>
        </w:rPr>
        <w:t xml:space="preserve"> and </w:t>
      </w:r>
      <w:proofErr w:type="spellStart"/>
      <w:r w:rsidRPr="006905CE">
        <w:rPr>
          <w:rFonts w:ascii="Calibri" w:cs="Calibri"/>
        </w:rPr>
        <w:t>strategies</w:t>
      </w:r>
      <w:proofErr w:type="spellEnd"/>
      <w:r w:rsidRPr="006905CE">
        <w:rPr>
          <w:rFonts w:ascii="Calibri" w:cs="Calibri"/>
        </w:rPr>
        <w:t xml:space="preserve"> for </w:t>
      </w:r>
      <w:proofErr w:type="spellStart"/>
      <w:r w:rsidRPr="006905CE">
        <w:rPr>
          <w:rFonts w:ascii="Calibri" w:cs="Calibri"/>
        </w:rPr>
        <w:t>prevention</w:t>
      </w:r>
      <w:proofErr w:type="spellEnd"/>
      <w:r w:rsidRPr="006905CE">
        <w:rPr>
          <w:rFonts w:ascii="Calibri" w:cs="Calibri"/>
        </w:rPr>
        <w:t xml:space="preserve">. </w:t>
      </w:r>
      <w:r w:rsidRPr="006905CE">
        <w:rPr>
          <w:rFonts w:ascii="Calibri" w:cs="Calibri"/>
          <w:i/>
          <w:iCs/>
        </w:rPr>
        <w:t xml:space="preserve">Age and </w:t>
      </w:r>
      <w:proofErr w:type="spellStart"/>
      <w:r w:rsidRPr="006905CE">
        <w:rPr>
          <w:rFonts w:ascii="Calibri" w:cs="Calibri"/>
          <w:i/>
          <w:iCs/>
        </w:rPr>
        <w:t>Ageing</w:t>
      </w:r>
      <w:proofErr w:type="spellEnd"/>
      <w:r w:rsidRPr="006905CE">
        <w:rPr>
          <w:rFonts w:ascii="Calibri" w:cs="Calibri"/>
        </w:rPr>
        <w:t xml:space="preserve">, </w:t>
      </w:r>
      <w:r w:rsidRPr="006905CE">
        <w:rPr>
          <w:rFonts w:ascii="Calibri" w:cs="Calibri"/>
          <w:i/>
          <w:iCs/>
        </w:rPr>
        <w:t>35</w:t>
      </w:r>
      <w:r w:rsidRPr="006905CE">
        <w:rPr>
          <w:rFonts w:ascii="Calibri" w:cs="Calibri"/>
        </w:rPr>
        <w:t>(suppl_2), ii37</w:t>
      </w:r>
      <w:r w:rsidRPr="006905CE">
        <w:rPr>
          <w:rFonts w:ascii="Cambria Math" w:hAnsi="Cambria Math" w:cs="Cambria Math"/>
        </w:rPr>
        <w:t>‑</w:t>
      </w:r>
      <w:r w:rsidRPr="006905CE">
        <w:rPr>
          <w:rFonts w:ascii="Calibri" w:cs="Calibri"/>
        </w:rPr>
        <w:t>ii41. https://doi.org/10.1093/ageing/afl084</w:t>
      </w:r>
    </w:p>
    <w:p w14:paraId="421EE3C7" w14:textId="77777777" w:rsidR="006905CE" w:rsidRPr="006905CE" w:rsidRDefault="006905CE" w:rsidP="006905CE">
      <w:pPr>
        <w:pStyle w:val="Bibliographie"/>
        <w:rPr>
          <w:rFonts w:ascii="Calibri" w:cs="Calibri"/>
        </w:rPr>
      </w:pPr>
      <w:proofErr w:type="spellStart"/>
      <w:r w:rsidRPr="006905CE">
        <w:rPr>
          <w:rFonts w:ascii="Calibri" w:cs="Calibri"/>
        </w:rPr>
        <w:t>Sakka</w:t>
      </w:r>
      <w:proofErr w:type="spellEnd"/>
      <w:r w:rsidRPr="006905CE">
        <w:rPr>
          <w:rFonts w:ascii="Calibri" w:cs="Calibri"/>
        </w:rPr>
        <w:t xml:space="preserve">, L., &amp; Vitte, E. (2004). Anatomie et physiologie du système vestibulaire : Revue de la littérature. </w:t>
      </w:r>
      <w:r w:rsidRPr="006905CE">
        <w:rPr>
          <w:rFonts w:ascii="Calibri" w:cs="Calibri"/>
          <w:i/>
          <w:iCs/>
        </w:rPr>
        <w:t>Morphologie</w:t>
      </w:r>
      <w:r w:rsidRPr="006905CE">
        <w:rPr>
          <w:rFonts w:ascii="Calibri" w:cs="Calibri"/>
        </w:rPr>
        <w:t xml:space="preserve">, </w:t>
      </w:r>
      <w:r w:rsidRPr="006905CE">
        <w:rPr>
          <w:rFonts w:ascii="Calibri" w:cs="Calibri"/>
          <w:i/>
          <w:iCs/>
        </w:rPr>
        <w:t>88</w:t>
      </w:r>
      <w:r w:rsidRPr="006905CE">
        <w:rPr>
          <w:rFonts w:ascii="Calibri" w:cs="Calibri"/>
        </w:rPr>
        <w:t>(282), 117</w:t>
      </w:r>
      <w:r w:rsidRPr="006905CE">
        <w:rPr>
          <w:rFonts w:ascii="Cambria Math" w:hAnsi="Cambria Math" w:cs="Cambria Math"/>
        </w:rPr>
        <w:t>‑</w:t>
      </w:r>
      <w:r w:rsidRPr="006905CE">
        <w:rPr>
          <w:rFonts w:ascii="Calibri" w:cs="Calibri"/>
        </w:rPr>
        <w:t>126. https://doi.org/10.1016/S1286-0115(04)98134-9</w:t>
      </w:r>
    </w:p>
    <w:p w14:paraId="36153305" w14:textId="77777777" w:rsidR="006905CE" w:rsidRPr="006905CE" w:rsidRDefault="006905CE" w:rsidP="006905CE">
      <w:pPr>
        <w:pStyle w:val="Bibliographie"/>
        <w:rPr>
          <w:rFonts w:ascii="Calibri" w:cs="Calibri"/>
        </w:rPr>
      </w:pPr>
      <w:r w:rsidRPr="006905CE">
        <w:rPr>
          <w:rFonts w:ascii="Calibri" w:cs="Calibri"/>
        </w:rPr>
        <w:t xml:space="preserve">Scott, J. (2011). Social network </w:t>
      </w:r>
      <w:proofErr w:type="spellStart"/>
      <w:r w:rsidRPr="006905CE">
        <w:rPr>
          <w:rFonts w:ascii="Calibri" w:cs="Calibri"/>
        </w:rPr>
        <w:t>analysis</w:t>
      </w:r>
      <w:proofErr w:type="spellEnd"/>
      <w:r w:rsidRPr="006905CE">
        <w:rPr>
          <w:rFonts w:ascii="Calibri" w:cs="Calibri"/>
        </w:rPr>
        <w:t xml:space="preserve"> : </w:t>
      </w:r>
      <w:proofErr w:type="spellStart"/>
      <w:r w:rsidRPr="006905CE">
        <w:rPr>
          <w:rFonts w:ascii="Calibri" w:cs="Calibri"/>
        </w:rPr>
        <w:t>Developments</w:t>
      </w:r>
      <w:proofErr w:type="spellEnd"/>
      <w:r w:rsidRPr="006905CE">
        <w:rPr>
          <w:rFonts w:ascii="Calibri" w:cs="Calibri"/>
        </w:rPr>
        <w:t xml:space="preserve">, </w:t>
      </w:r>
      <w:proofErr w:type="spellStart"/>
      <w:r w:rsidRPr="006905CE">
        <w:rPr>
          <w:rFonts w:ascii="Calibri" w:cs="Calibri"/>
        </w:rPr>
        <w:t>advances</w:t>
      </w:r>
      <w:proofErr w:type="spellEnd"/>
      <w:r w:rsidRPr="006905CE">
        <w:rPr>
          <w:rFonts w:ascii="Calibri" w:cs="Calibri"/>
        </w:rPr>
        <w:t xml:space="preserve">, and prospects. </w:t>
      </w:r>
      <w:r w:rsidRPr="006905CE">
        <w:rPr>
          <w:rFonts w:ascii="Calibri" w:cs="Calibri"/>
          <w:i/>
          <w:iCs/>
        </w:rPr>
        <w:t xml:space="preserve">Social Network </w:t>
      </w:r>
      <w:proofErr w:type="spellStart"/>
      <w:r w:rsidRPr="006905CE">
        <w:rPr>
          <w:rFonts w:ascii="Calibri" w:cs="Calibri"/>
          <w:i/>
          <w:iCs/>
        </w:rPr>
        <w:t>Analysis</w:t>
      </w:r>
      <w:proofErr w:type="spellEnd"/>
      <w:r w:rsidRPr="006905CE">
        <w:rPr>
          <w:rFonts w:ascii="Calibri" w:cs="Calibri"/>
          <w:i/>
          <w:iCs/>
        </w:rPr>
        <w:t xml:space="preserve"> and Mining</w:t>
      </w:r>
      <w:r w:rsidRPr="006905CE">
        <w:rPr>
          <w:rFonts w:ascii="Calibri" w:cs="Calibri"/>
        </w:rPr>
        <w:t xml:space="preserve">, </w:t>
      </w:r>
      <w:r w:rsidRPr="006905CE">
        <w:rPr>
          <w:rFonts w:ascii="Calibri" w:cs="Calibri"/>
          <w:i/>
          <w:iCs/>
        </w:rPr>
        <w:t>1</w:t>
      </w:r>
      <w:r w:rsidRPr="006905CE">
        <w:rPr>
          <w:rFonts w:ascii="Calibri" w:cs="Calibri"/>
        </w:rPr>
        <w:t>(1), 21</w:t>
      </w:r>
      <w:r w:rsidRPr="006905CE">
        <w:rPr>
          <w:rFonts w:ascii="Cambria Math" w:hAnsi="Cambria Math" w:cs="Cambria Math"/>
        </w:rPr>
        <w:t>‑</w:t>
      </w:r>
      <w:r w:rsidRPr="006905CE">
        <w:rPr>
          <w:rFonts w:ascii="Calibri" w:cs="Calibri"/>
        </w:rPr>
        <w:t>26. https://doi.org/10.1007/s13278-010-0012-6</w:t>
      </w:r>
    </w:p>
    <w:p w14:paraId="6653059B" w14:textId="77777777" w:rsidR="006905CE" w:rsidRPr="006905CE" w:rsidRDefault="006905CE" w:rsidP="006905CE">
      <w:pPr>
        <w:pStyle w:val="Bibliographie"/>
        <w:rPr>
          <w:rFonts w:ascii="Calibri" w:cs="Calibri"/>
        </w:rPr>
      </w:pPr>
      <w:proofErr w:type="spellStart"/>
      <w:r w:rsidRPr="006905CE">
        <w:rPr>
          <w:rFonts w:ascii="Calibri" w:cs="Calibri"/>
        </w:rPr>
        <w:lastRenderedPageBreak/>
        <w:t>Seeman</w:t>
      </w:r>
      <w:proofErr w:type="spellEnd"/>
      <w:r w:rsidRPr="006905CE">
        <w:rPr>
          <w:rFonts w:ascii="Calibri" w:cs="Calibri"/>
        </w:rPr>
        <w:t xml:space="preserve">, E. (2002). </w:t>
      </w:r>
      <w:proofErr w:type="spellStart"/>
      <w:r w:rsidRPr="006905CE">
        <w:rPr>
          <w:rFonts w:ascii="Calibri" w:cs="Calibri"/>
        </w:rPr>
        <w:t>Pathogenesis</w:t>
      </w:r>
      <w:proofErr w:type="spellEnd"/>
      <w:r w:rsidRPr="006905CE">
        <w:rPr>
          <w:rFonts w:ascii="Calibri" w:cs="Calibri"/>
        </w:rPr>
        <w:t xml:space="preserve"> of </w:t>
      </w:r>
      <w:proofErr w:type="spellStart"/>
      <w:r w:rsidRPr="006905CE">
        <w:rPr>
          <w:rFonts w:ascii="Calibri" w:cs="Calibri"/>
        </w:rPr>
        <w:t>bone</w:t>
      </w:r>
      <w:proofErr w:type="spellEnd"/>
      <w:r w:rsidRPr="006905CE">
        <w:rPr>
          <w:rFonts w:ascii="Calibri" w:cs="Calibri"/>
        </w:rPr>
        <w:t xml:space="preserve"> </w:t>
      </w:r>
      <w:proofErr w:type="spellStart"/>
      <w:r w:rsidRPr="006905CE">
        <w:rPr>
          <w:rFonts w:ascii="Calibri" w:cs="Calibri"/>
        </w:rPr>
        <w:t>fragility</w:t>
      </w:r>
      <w:proofErr w:type="spellEnd"/>
      <w:r w:rsidRPr="006905CE">
        <w:rPr>
          <w:rFonts w:ascii="Calibri" w:cs="Calibri"/>
        </w:rPr>
        <w:t xml:space="preserve"> in </w:t>
      </w:r>
      <w:proofErr w:type="spellStart"/>
      <w:r w:rsidRPr="006905CE">
        <w:rPr>
          <w:rFonts w:ascii="Calibri" w:cs="Calibri"/>
        </w:rPr>
        <w:t>women</w:t>
      </w:r>
      <w:proofErr w:type="spellEnd"/>
      <w:r w:rsidRPr="006905CE">
        <w:rPr>
          <w:rFonts w:ascii="Calibri" w:cs="Calibri"/>
        </w:rPr>
        <w:t xml:space="preserve"> and men. </w:t>
      </w:r>
      <w:r w:rsidRPr="006905CE">
        <w:rPr>
          <w:rFonts w:ascii="Calibri" w:cs="Calibri"/>
          <w:i/>
          <w:iCs/>
        </w:rPr>
        <w:t xml:space="preserve">Lancet (London, </w:t>
      </w:r>
      <w:proofErr w:type="spellStart"/>
      <w:r w:rsidRPr="006905CE">
        <w:rPr>
          <w:rFonts w:ascii="Calibri" w:cs="Calibri"/>
          <w:i/>
          <w:iCs/>
        </w:rPr>
        <w:t>England</w:t>
      </w:r>
      <w:proofErr w:type="spellEnd"/>
      <w:r w:rsidRPr="006905CE">
        <w:rPr>
          <w:rFonts w:ascii="Calibri" w:cs="Calibri"/>
          <w:i/>
          <w:iCs/>
        </w:rPr>
        <w:t>)</w:t>
      </w:r>
      <w:r w:rsidRPr="006905CE">
        <w:rPr>
          <w:rFonts w:ascii="Calibri" w:cs="Calibri"/>
        </w:rPr>
        <w:t xml:space="preserve">, </w:t>
      </w:r>
      <w:r w:rsidRPr="006905CE">
        <w:rPr>
          <w:rFonts w:ascii="Calibri" w:cs="Calibri"/>
          <w:i/>
          <w:iCs/>
        </w:rPr>
        <w:t>359</w:t>
      </w:r>
      <w:r w:rsidRPr="006905CE">
        <w:rPr>
          <w:rFonts w:ascii="Calibri" w:cs="Calibri"/>
        </w:rPr>
        <w:t>(9320), 1841</w:t>
      </w:r>
      <w:r w:rsidRPr="006905CE">
        <w:rPr>
          <w:rFonts w:ascii="Cambria Math" w:hAnsi="Cambria Math" w:cs="Cambria Math"/>
        </w:rPr>
        <w:t>‑</w:t>
      </w:r>
      <w:r w:rsidRPr="006905CE">
        <w:rPr>
          <w:rFonts w:ascii="Calibri" w:cs="Calibri"/>
        </w:rPr>
        <w:t>1850. https://doi.org/10.1016/S0140-6736(02)08706-8</w:t>
      </w:r>
    </w:p>
    <w:p w14:paraId="1A0AED64" w14:textId="77777777" w:rsidR="006905CE" w:rsidRPr="006905CE" w:rsidRDefault="006905CE" w:rsidP="006905CE">
      <w:pPr>
        <w:pStyle w:val="Bibliographie"/>
        <w:rPr>
          <w:rFonts w:ascii="Calibri" w:cs="Calibri"/>
        </w:rPr>
      </w:pPr>
      <w:proofErr w:type="spellStart"/>
      <w:r w:rsidRPr="006905CE">
        <w:rPr>
          <w:rFonts w:ascii="Calibri" w:cs="Calibri"/>
        </w:rPr>
        <w:t>Shaffer</w:t>
      </w:r>
      <w:proofErr w:type="spellEnd"/>
      <w:r w:rsidRPr="006905CE">
        <w:rPr>
          <w:rFonts w:ascii="Calibri" w:cs="Calibri"/>
        </w:rPr>
        <w:t xml:space="preserve">, S. W., &amp; Harrison, A. L. (2007). </w:t>
      </w:r>
      <w:proofErr w:type="spellStart"/>
      <w:r w:rsidRPr="006905CE">
        <w:rPr>
          <w:rFonts w:ascii="Calibri" w:cs="Calibri"/>
        </w:rPr>
        <w:t>Aging</w:t>
      </w:r>
      <w:proofErr w:type="spellEnd"/>
      <w:r w:rsidRPr="006905CE">
        <w:rPr>
          <w:rFonts w:ascii="Calibri" w:cs="Calibri"/>
        </w:rPr>
        <w:t xml:space="preserve"> of the </w:t>
      </w:r>
      <w:proofErr w:type="spellStart"/>
      <w:r w:rsidRPr="006905CE">
        <w:rPr>
          <w:rFonts w:ascii="Calibri" w:cs="Calibri"/>
        </w:rPr>
        <w:t>somatosensory</w:t>
      </w:r>
      <w:proofErr w:type="spellEnd"/>
      <w:r w:rsidRPr="006905CE">
        <w:rPr>
          <w:rFonts w:ascii="Calibri" w:cs="Calibri"/>
        </w:rPr>
        <w:t xml:space="preserve"> system : A </w:t>
      </w:r>
      <w:proofErr w:type="spellStart"/>
      <w:r w:rsidRPr="006905CE">
        <w:rPr>
          <w:rFonts w:ascii="Calibri" w:cs="Calibri"/>
        </w:rPr>
        <w:t>translational</w:t>
      </w:r>
      <w:proofErr w:type="spellEnd"/>
      <w:r w:rsidRPr="006905CE">
        <w:rPr>
          <w:rFonts w:ascii="Calibri" w:cs="Calibri"/>
        </w:rPr>
        <w:t xml:space="preserve"> perspective. </w:t>
      </w:r>
      <w:r w:rsidRPr="006905CE">
        <w:rPr>
          <w:rFonts w:ascii="Calibri" w:cs="Calibri"/>
          <w:i/>
          <w:iCs/>
        </w:rPr>
        <w:t xml:space="preserve">Physical </w:t>
      </w:r>
      <w:proofErr w:type="spellStart"/>
      <w:r w:rsidRPr="006905CE">
        <w:rPr>
          <w:rFonts w:ascii="Calibri" w:cs="Calibri"/>
          <w:i/>
          <w:iCs/>
        </w:rPr>
        <w:t>Therapy</w:t>
      </w:r>
      <w:proofErr w:type="spellEnd"/>
      <w:r w:rsidRPr="006905CE">
        <w:rPr>
          <w:rFonts w:ascii="Calibri" w:cs="Calibri"/>
        </w:rPr>
        <w:t xml:space="preserve">, </w:t>
      </w:r>
      <w:r w:rsidRPr="006905CE">
        <w:rPr>
          <w:rFonts w:ascii="Calibri" w:cs="Calibri"/>
          <w:i/>
          <w:iCs/>
        </w:rPr>
        <w:t>87</w:t>
      </w:r>
      <w:r w:rsidRPr="006905CE">
        <w:rPr>
          <w:rFonts w:ascii="Calibri" w:cs="Calibri"/>
        </w:rPr>
        <w:t>(2), 193</w:t>
      </w:r>
      <w:r w:rsidRPr="006905CE">
        <w:rPr>
          <w:rFonts w:ascii="Cambria Math" w:hAnsi="Cambria Math" w:cs="Cambria Math"/>
        </w:rPr>
        <w:t>‑</w:t>
      </w:r>
      <w:r w:rsidRPr="006905CE">
        <w:rPr>
          <w:rFonts w:ascii="Calibri" w:cs="Calibri"/>
        </w:rPr>
        <w:t>207. https://doi.org/10.2522/ptj.20060083</w:t>
      </w:r>
    </w:p>
    <w:p w14:paraId="3041E641" w14:textId="77777777" w:rsidR="006905CE" w:rsidRPr="006905CE" w:rsidRDefault="006905CE" w:rsidP="006905CE">
      <w:pPr>
        <w:pStyle w:val="Bibliographie"/>
        <w:rPr>
          <w:rFonts w:ascii="Calibri" w:cs="Calibri"/>
        </w:rPr>
      </w:pPr>
      <w:r w:rsidRPr="006905CE">
        <w:rPr>
          <w:rFonts w:ascii="Calibri" w:cs="Calibri"/>
        </w:rPr>
        <w:t xml:space="preserve">Sibley, K. M., Beauchamp, M. K., </w:t>
      </w:r>
      <w:proofErr w:type="spellStart"/>
      <w:r w:rsidRPr="006905CE">
        <w:rPr>
          <w:rFonts w:ascii="Calibri" w:cs="Calibri"/>
        </w:rPr>
        <w:t>Ooteghem</w:t>
      </w:r>
      <w:proofErr w:type="spellEnd"/>
      <w:r w:rsidRPr="006905CE">
        <w:rPr>
          <w:rFonts w:ascii="Calibri" w:cs="Calibri"/>
        </w:rPr>
        <w:t xml:space="preserve">, K. V., </w:t>
      </w:r>
      <w:proofErr w:type="spellStart"/>
      <w:r w:rsidRPr="006905CE">
        <w:rPr>
          <w:rFonts w:ascii="Calibri" w:cs="Calibri"/>
        </w:rPr>
        <w:t>Straus</w:t>
      </w:r>
      <w:proofErr w:type="spellEnd"/>
      <w:r w:rsidRPr="006905CE">
        <w:rPr>
          <w:rFonts w:ascii="Calibri" w:cs="Calibri"/>
        </w:rPr>
        <w:t xml:space="preserve">, S. E., &amp; </w:t>
      </w:r>
      <w:proofErr w:type="spellStart"/>
      <w:r w:rsidRPr="006905CE">
        <w:rPr>
          <w:rFonts w:ascii="Calibri" w:cs="Calibri"/>
        </w:rPr>
        <w:t>Jaglal</w:t>
      </w:r>
      <w:proofErr w:type="spellEnd"/>
      <w:r w:rsidRPr="006905CE">
        <w:rPr>
          <w:rFonts w:ascii="Calibri" w:cs="Calibri"/>
        </w:rPr>
        <w:t xml:space="preserve">, S. B. (2015). </w:t>
      </w:r>
      <w:proofErr w:type="spellStart"/>
      <w:r w:rsidRPr="006905CE">
        <w:rPr>
          <w:rFonts w:ascii="Calibri" w:cs="Calibri"/>
        </w:rPr>
        <w:t>Using</w:t>
      </w:r>
      <w:proofErr w:type="spellEnd"/>
      <w:r w:rsidRPr="006905CE">
        <w:rPr>
          <w:rFonts w:ascii="Calibri" w:cs="Calibri"/>
        </w:rPr>
        <w:t xml:space="preserve"> the </w:t>
      </w:r>
      <w:proofErr w:type="spellStart"/>
      <w:r w:rsidRPr="006905CE">
        <w:rPr>
          <w:rFonts w:ascii="Calibri" w:cs="Calibri"/>
        </w:rPr>
        <w:t>Systems</w:t>
      </w:r>
      <w:proofErr w:type="spellEnd"/>
      <w:r w:rsidRPr="006905CE">
        <w:rPr>
          <w:rFonts w:ascii="Calibri" w:cs="Calibri"/>
        </w:rPr>
        <w:t xml:space="preserve"> Framework for Postural Control to </w:t>
      </w:r>
      <w:proofErr w:type="spellStart"/>
      <w:r w:rsidRPr="006905CE">
        <w:rPr>
          <w:rFonts w:ascii="Calibri" w:cs="Calibri"/>
        </w:rPr>
        <w:t>Analyze</w:t>
      </w:r>
      <w:proofErr w:type="spellEnd"/>
      <w:r w:rsidRPr="006905CE">
        <w:rPr>
          <w:rFonts w:ascii="Calibri" w:cs="Calibri"/>
        </w:rPr>
        <w:t xml:space="preserve"> the Components of Balance </w:t>
      </w:r>
      <w:proofErr w:type="spellStart"/>
      <w:r w:rsidRPr="006905CE">
        <w:rPr>
          <w:rFonts w:ascii="Calibri" w:cs="Calibri"/>
        </w:rPr>
        <w:t>Evaluated</w:t>
      </w:r>
      <w:proofErr w:type="spellEnd"/>
      <w:r w:rsidRPr="006905CE">
        <w:rPr>
          <w:rFonts w:ascii="Calibri" w:cs="Calibri"/>
        </w:rPr>
        <w:t xml:space="preserve"> in </w:t>
      </w:r>
      <w:proofErr w:type="spellStart"/>
      <w:r w:rsidRPr="006905CE">
        <w:rPr>
          <w:rFonts w:ascii="Calibri" w:cs="Calibri"/>
        </w:rPr>
        <w:t>Standardized</w:t>
      </w:r>
      <w:proofErr w:type="spellEnd"/>
      <w:r w:rsidRPr="006905CE">
        <w:rPr>
          <w:rFonts w:ascii="Calibri" w:cs="Calibri"/>
        </w:rPr>
        <w:t xml:space="preserve"> Balance </w:t>
      </w:r>
      <w:proofErr w:type="spellStart"/>
      <w:r w:rsidRPr="006905CE">
        <w:rPr>
          <w:rFonts w:ascii="Calibri" w:cs="Calibri"/>
        </w:rPr>
        <w:t>Measures</w:t>
      </w:r>
      <w:proofErr w:type="spellEnd"/>
      <w:r w:rsidRPr="006905CE">
        <w:rPr>
          <w:rFonts w:ascii="Calibri" w:cs="Calibri"/>
        </w:rPr>
        <w:t xml:space="preserve"> : A </w:t>
      </w:r>
      <w:proofErr w:type="spellStart"/>
      <w:r w:rsidRPr="006905CE">
        <w:rPr>
          <w:rFonts w:ascii="Calibri" w:cs="Calibri"/>
        </w:rPr>
        <w:t>Scoping</w:t>
      </w:r>
      <w:proofErr w:type="spellEnd"/>
      <w:r w:rsidRPr="006905CE">
        <w:rPr>
          <w:rFonts w:ascii="Calibri" w:cs="Calibri"/>
        </w:rPr>
        <w:t xml:space="preserve"> </w:t>
      </w:r>
      <w:proofErr w:type="spellStart"/>
      <w:r w:rsidRPr="006905CE">
        <w:rPr>
          <w:rFonts w:ascii="Calibri" w:cs="Calibri"/>
        </w:rPr>
        <w:t>Review</w:t>
      </w:r>
      <w:proofErr w:type="spellEnd"/>
      <w:r w:rsidRPr="006905CE">
        <w:rPr>
          <w:rFonts w:ascii="Calibri" w:cs="Calibri"/>
        </w:rPr>
        <w:t xml:space="preserve">. </w:t>
      </w:r>
      <w:r w:rsidRPr="006905CE">
        <w:rPr>
          <w:rFonts w:ascii="Calibri" w:cs="Calibri"/>
          <w:i/>
          <w:iCs/>
        </w:rPr>
        <w:t xml:space="preserve">Archives of Physical </w:t>
      </w:r>
      <w:proofErr w:type="spellStart"/>
      <w:r w:rsidRPr="006905CE">
        <w:rPr>
          <w:rFonts w:ascii="Calibri" w:cs="Calibri"/>
          <w:i/>
          <w:iCs/>
        </w:rPr>
        <w:t>Medicine</w:t>
      </w:r>
      <w:proofErr w:type="spellEnd"/>
      <w:r w:rsidRPr="006905CE">
        <w:rPr>
          <w:rFonts w:ascii="Calibri" w:cs="Calibri"/>
          <w:i/>
          <w:iCs/>
        </w:rPr>
        <w:t xml:space="preserve"> and </w:t>
      </w:r>
      <w:proofErr w:type="spellStart"/>
      <w:r w:rsidRPr="006905CE">
        <w:rPr>
          <w:rFonts w:ascii="Calibri" w:cs="Calibri"/>
          <w:i/>
          <w:iCs/>
        </w:rPr>
        <w:t>Rehabilitation</w:t>
      </w:r>
      <w:proofErr w:type="spellEnd"/>
      <w:r w:rsidRPr="006905CE">
        <w:rPr>
          <w:rFonts w:ascii="Calibri" w:cs="Calibri"/>
        </w:rPr>
        <w:t xml:space="preserve">, </w:t>
      </w:r>
      <w:r w:rsidRPr="006905CE">
        <w:rPr>
          <w:rFonts w:ascii="Calibri" w:cs="Calibri"/>
          <w:i/>
          <w:iCs/>
        </w:rPr>
        <w:t>96</w:t>
      </w:r>
      <w:r w:rsidRPr="006905CE">
        <w:rPr>
          <w:rFonts w:ascii="Calibri" w:cs="Calibri"/>
        </w:rPr>
        <w:t>(1), 122-132.e29. https://doi.org/10.1016/j.apmr.2014.06.021</w:t>
      </w:r>
    </w:p>
    <w:p w14:paraId="6C85DBA5" w14:textId="77777777" w:rsidR="006905CE" w:rsidRPr="006905CE" w:rsidRDefault="006905CE" w:rsidP="006905CE">
      <w:pPr>
        <w:pStyle w:val="Bibliographie"/>
        <w:rPr>
          <w:rFonts w:ascii="Calibri" w:cs="Calibri"/>
        </w:rPr>
      </w:pPr>
      <w:r w:rsidRPr="006905CE">
        <w:rPr>
          <w:rFonts w:ascii="Calibri" w:cs="Calibri"/>
        </w:rPr>
        <w:t xml:space="preserve">Sibley, K. M., </w:t>
      </w:r>
      <w:proofErr w:type="spellStart"/>
      <w:r w:rsidRPr="006905CE">
        <w:rPr>
          <w:rFonts w:ascii="Calibri" w:cs="Calibri"/>
        </w:rPr>
        <w:t>Straus</w:t>
      </w:r>
      <w:proofErr w:type="spellEnd"/>
      <w:r w:rsidRPr="006905CE">
        <w:rPr>
          <w:rFonts w:ascii="Calibri" w:cs="Calibri"/>
        </w:rPr>
        <w:t xml:space="preserve">, S. E., </w:t>
      </w:r>
      <w:proofErr w:type="spellStart"/>
      <w:r w:rsidRPr="006905CE">
        <w:rPr>
          <w:rFonts w:ascii="Calibri" w:cs="Calibri"/>
        </w:rPr>
        <w:t>Inness</w:t>
      </w:r>
      <w:proofErr w:type="spellEnd"/>
      <w:r w:rsidRPr="006905CE">
        <w:rPr>
          <w:rFonts w:ascii="Calibri" w:cs="Calibri"/>
        </w:rPr>
        <w:t xml:space="preserve">, E. L., </w:t>
      </w:r>
      <w:proofErr w:type="spellStart"/>
      <w:r w:rsidRPr="006905CE">
        <w:rPr>
          <w:rFonts w:ascii="Calibri" w:cs="Calibri"/>
        </w:rPr>
        <w:t>Salbach</w:t>
      </w:r>
      <w:proofErr w:type="spellEnd"/>
      <w:r w:rsidRPr="006905CE">
        <w:rPr>
          <w:rFonts w:ascii="Calibri" w:cs="Calibri"/>
        </w:rPr>
        <w:t xml:space="preserve">, N. M., &amp; </w:t>
      </w:r>
      <w:proofErr w:type="spellStart"/>
      <w:r w:rsidRPr="006905CE">
        <w:rPr>
          <w:rFonts w:ascii="Calibri" w:cs="Calibri"/>
        </w:rPr>
        <w:t>Jaglal</w:t>
      </w:r>
      <w:proofErr w:type="spellEnd"/>
      <w:r w:rsidRPr="006905CE">
        <w:rPr>
          <w:rFonts w:ascii="Calibri" w:cs="Calibri"/>
        </w:rPr>
        <w:t xml:space="preserve">, S. B. (2011a). Balance </w:t>
      </w:r>
      <w:proofErr w:type="spellStart"/>
      <w:r w:rsidRPr="006905CE">
        <w:rPr>
          <w:rFonts w:ascii="Calibri" w:cs="Calibri"/>
        </w:rPr>
        <w:t>Assessment</w:t>
      </w:r>
      <w:proofErr w:type="spellEnd"/>
      <w:r w:rsidRPr="006905CE">
        <w:rPr>
          <w:rFonts w:ascii="Calibri" w:cs="Calibri"/>
        </w:rPr>
        <w:t xml:space="preserve"> Practices and Use of </w:t>
      </w:r>
      <w:proofErr w:type="spellStart"/>
      <w:r w:rsidRPr="006905CE">
        <w:rPr>
          <w:rFonts w:ascii="Calibri" w:cs="Calibri"/>
        </w:rPr>
        <w:t>Standardized</w:t>
      </w:r>
      <w:proofErr w:type="spellEnd"/>
      <w:r w:rsidRPr="006905CE">
        <w:rPr>
          <w:rFonts w:ascii="Calibri" w:cs="Calibri"/>
        </w:rPr>
        <w:t xml:space="preserve"> Balance </w:t>
      </w:r>
      <w:proofErr w:type="spellStart"/>
      <w:r w:rsidRPr="006905CE">
        <w:rPr>
          <w:rFonts w:ascii="Calibri" w:cs="Calibri"/>
        </w:rPr>
        <w:t>Measures</w:t>
      </w:r>
      <w:proofErr w:type="spellEnd"/>
      <w:r w:rsidRPr="006905CE">
        <w:rPr>
          <w:rFonts w:ascii="Calibri" w:cs="Calibri"/>
        </w:rPr>
        <w:t xml:space="preserve"> </w:t>
      </w:r>
      <w:proofErr w:type="spellStart"/>
      <w:r w:rsidRPr="006905CE">
        <w:rPr>
          <w:rFonts w:ascii="Calibri" w:cs="Calibri"/>
        </w:rPr>
        <w:t>Among</w:t>
      </w:r>
      <w:proofErr w:type="spellEnd"/>
      <w:r w:rsidRPr="006905CE">
        <w:rPr>
          <w:rFonts w:ascii="Calibri" w:cs="Calibri"/>
        </w:rPr>
        <w:t xml:space="preserve"> Ontario Physical </w:t>
      </w:r>
      <w:proofErr w:type="spellStart"/>
      <w:r w:rsidRPr="006905CE">
        <w:rPr>
          <w:rFonts w:ascii="Calibri" w:cs="Calibri"/>
        </w:rPr>
        <w:t>Therapists</w:t>
      </w:r>
      <w:proofErr w:type="spellEnd"/>
      <w:r w:rsidRPr="006905CE">
        <w:rPr>
          <w:rFonts w:ascii="Calibri" w:cs="Calibri"/>
        </w:rPr>
        <w:t xml:space="preserve">. </w:t>
      </w:r>
      <w:r w:rsidRPr="006905CE">
        <w:rPr>
          <w:rFonts w:ascii="Calibri" w:cs="Calibri"/>
          <w:i/>
          <w:iCs/>
        </w:rPr>
        <w:t xml:space="preserve">Physical </w:t>
      </w:r>
      <w:proofErr w:type="spellStart"/>
      <w:r w:rsidRPr="006905CE">
        <w:rPr>
          <w:rFonts w:ascii="Calibri" w:cs="Calibri"/>
          <w:i/>
          <w:iCs/>
        </w:rPr>
        <w:t>Therapy</w:t>
      </w:r>
      <w:proofErr w:type="spellEnd"/>
      <w:r w:rsidRPr="006905CE">
        <w:rPr>
          <w:rFonts w:ascii="Calibri" w:cs="Calibri"/>
        </w:rPr>
        <w:t xml:space="preserve">, </w:t>
      </w:r>
      <w:r w:rsidRPr="006905CE">
        <w:rPr>
          <w:rFonts w:ascii="Calibri" w:cs="Calibri"/>
          <w:i/>
          <w:iCs/>
        </w:rPr>
        <w:t>91</w:t>
      </w:r>
      <w:r w:rsidRPr="006905CE">
        <w:rPr>
          <w:rFonts w:ascii="Calibri" w:cs="Calibri"/>
        </w:rPr>
        <w:t>(11), 1583</w:t>
      </w:r>
      <w:r w:rsidRPr="006905CE">
        <w:rPr>
          <w:rFonts w:ascii="Cambria Math" w:hAnsi="Cambria Math" w:cs="Cambria Math"/>
        </w:rPr>
        <w:t>‑</w:t>
      </w:r>
      <w:r w:rsidRPr="006905CE">
        <w:rPr>
          <w:rFonts w:ascii="Calibri" w:cs="Calibri"/>
        </w:rPr>
        <w:t>1591. https://doi.org/10.2522/ptj.20110063</w:t>
      </w:r>
    </w:p>
    <w:p w14:paraId="7B7EC0F7" w14:textId="77777777" w:rsidR="006905CE" w:rsidRPr="006905CE" w:rsidRDefault="006905CE" w:rsidP="006905CE">
      <w:pPr>
        <w:pStyle w:val="Bibliographie"/>
        <w:rPr>
          <w:rFonts w:ascii="Calibri" w:cs="Calibri"/>
        </w:rPr>
      </w:pPr>
      <w:r w:rsidRPr="006905CE">
        <w:rPr>
          <w:rFonts w:ascii="Calibri" w:cs="Calibri"/>
        </w:rPr>
        <w:t xml:space="preserve">Singly, F. de. (2020). 2. La conception du questionnaire. </w:t>
      </w:r>
      <w:r w:rsidRPr="006905CE">
        <w:rPr>
          <w:rFonts w:ascii="Calibri" w:cs="Calibri"/>
          <w:i/>
          <w:iCs/>
        </w:rPr>
        <w:t>128</w:t>
      </w:r>
      <w:r w:rsidRPr="006905CE">
        <w:rPr>
          <w:rFonts w:ascii="Calibri" w:cs="Calibri"/>
        </w:rPr>
        <w:t xml:space="preserve">, </w:t>
      </w:r>
      <w:r w:rsidRPr="006905CE">
        <w:rPr>
          <w:rFonts w:ascii="Calibri" w:cs="Calibri"/>
          <w:i/>
          <w:iCs/>
        </w:rPr>
        <w:t>5</w:t>
      </w:r>
      <w:r w:rsidRPr="006905CE">
        <w:rPr>
          <w:rFonts w:ascii="Calibri" w:cs="Calibri"/>
        </w:rPr>
        <w:t>, 23</w:t>
      </w:r>
      <w:r w:rsidRPr="006905CE">
        <w:rPr>
          <w:rFonts w:ascii="Cambria Math" w:hAnsi="Cambria Math" w:cs="Cambria Math"/>
        </w:rPr>
        <w:t>‑</w:t>
      </w:r>
      <w:r w:rsidRPr="006905CE">
        <w:rPr>
          <w:rFonts w:ascii="Calibri" w:cs="Calibri"/>
        </w:rPr>
        <w:t>43.</w:t>
      </w:r>
    </w:p>
    <w:p w14:paraId="48BDB9D1" w14:textId="77777777" w:rsidR="006905CE" w:rsidRPr="006905CE" w:rsidRDefault="006905CE" w:rsidP="006905CE">
      <w:pPr>
        <w:pStyle w:val="Bibliographie"/>
        <w:rPr>
          <w:rFonts w:ascii="Calibri" w:cs="Calibri"/>
        </w:rPr>
      </w:pPr>
      <w:r w:rsidRPr="006905CE">
        <w:rPr>
          <w:rFonts w:ascii="Calibri" w:cs="Calibri"/>
        </w:rPr>
        <w:t xml:space="preserve">SPF. (2024, décembre 16). </w:t>
      </w:r>
      <w:r w:rsidRPr="006905CE">
        <w:rPr>
          <w:rFonts w:ascii="Calibri" w:cs="Calibri"/>
          <w:i/>
          <w:iCs/>
        </w:rPr>
        <w:t>La surveillance épidémiologique des chutes chez les personnes âgées. Numéro thématique. Vieillissement et fragilité : Approches de santé publique</w:t>
      </w:r>
      <w:r w:rsidRPr="006905CE">
        <w:rPr>
          <w:rFonts w:ascii="Calibri" w:cs="Calibri"/>
        </w:rPr>
        <w:t>. https://www.santepubliquefrance.fr/maladies-et-traumatismes/traumatismes/chute/la-surveillance-epidemiologique-des-chutes-chez-les-personnes-agees.-numero-thematique.-vieillissement-et-fragilite-approches-de-sante-publique</w:t>
      </w:r>
    </w:p>
    <w:p w14:paraId="318E6AF5" w14:textId="77777777" w:rsidR="006905CE" w:rsidRPr="006905CE" w:rsidRDefault="006905CE" w:rsidP="006905CE">
      <w:pPr>
        <w:pStyle w:val="Bibliographie"/>
        <w:rPr>
          <w:rFonts w:ascii="Calibri" w:cs="Calibri"/>
        </w:rPr>
      </w:pPr>
      <w:r w:rsidRPr="006905CE">
        <w:rPr>
          <w:rFonts w:ascii="Calibri" w:cs="Calibri"/>
        </w:rPr>
        <w:t xml:space="preserve">Stéphane </w:t>
      </w:r>
      <w:proofErr w:type="spellStart"/>
      <w:r w:rsidRPr="006905CE">
        <w:rPr>
          <w:rFonts w:ascii="Calibri" w:cs="Calibri"/>
        </w:rPr>
        <w:t>Ganassali</w:t>
      </w:r>
      <w:proofErr w:type="spellEnd"/>
      <w:r w:rsidRPr="006905CE">
        <w:rPr>
          <w:rFonts w:ascii="Calibri" w:cs="Calibri"/>
        </w:rPr>
        <w:t xml:space="preserve">. (2014). </w:t>
      </w:r>
      <w:r w:rsidRPr="006905CE">
        <w:rPr>
          <w:rFonts w:ascii="Calibri" w:cs="Calibri"/>
          <w:i/>
          <w:iCs/>
        </w:rPr>
        <w:t>Les différents modes de diffusion d’un questionnaire</w:t>
      </w:r>
      <w:r w:rsidRPr="006905CE">
        <w:rPr>
          <w:rFonts w:ascii="Calibri" w:cs="Calibri"/>
        </w:rPr>
        <w:t>.</w:t>
      </w:r>
    </w:p>
    <w:p w14:paraId="3FA9FF49" w14:textId="77777777" w:rsidR="006905CE" w:rsidRPr="006905CE" w:rsidRDefault="006905CE" w:rsidP="006905CE">
      <w:pPr>
        <w:pStyle w:val="Bibliographie"/>
        <w:rPr>
          <w:rFonts w:ascii="Calibri" w:cs="Calibri"/>
        </w:rPr>
      </w:pPr>
      <w:r w:rsidRPr="006905CE">
        <w:rPr>
          <w:rFonts w:ascii="Calibri" w:cs="Calibri"/>
        </w:rPr>
        <w:t>Tinetti, M. E. (1986). Performance-</w:t>
      </w:r>
      <w:proofErr w:type="spellStart"/>
      <w:r w:rsidRPr="006905CE">
        <w:rPr>
          <w:rFonts w:ascii="Calibri" w:cs="Calibri"/>
        </w:rPr>
        <w:t>oriented</w:t>
      </w:r>
      <w:proofErr w:type="spellEnd"/>
      <w:r w:rsidRPr="006905CE">
        <w:rPr>
          <w:rFonts w:ascii="Calibri" w:cs="Calibri"/>
        </w:rPr>
        <w:t xml:space="preserve"> </w:t>
      </w:r>
      <w:proofErr w:type="spellStart"/>
      <w:r w:rsidRPr="006905CE">
        <w:rPr>
          <w:rFonts w:ascii="Calibri" w:cs="Calibri"/>
        </w:rPr>
        <w:t>assessment</w:t>
      </w:r>
      <w:proofErr w:type="spellEnd"/>
      <w:r w:rsidRPr="006905CE">
        <w:rPr>
          <w:rFonts w:ascii="Calibri" w:cs="Calibri"/>
        </w:rPr>
        <w:t xml:space="preserve"> of </w:t>
      </w:r>
      <w:proofErr w:type="spellStart"/>
      <w:r w:rsidRPr="006905CE">
        <w:rPr>
          <w:rFonts w:ascii="Calibri" w:cs="Calibri"/>
        </w:rPr>
        <w:t>mobility</w:t>
      </w:r>
      <w:proofErr w:type="spellEnd"/>
      <w:r w:rsidRPr="006905CE">
        <w:rPr>
          <w:rFonts w:ascii="Calibri" w:cs="Calibri"/>
        </w:rPr>
        <w:t xml:space="preserve"> </w:t>
      </w:r>
      <w:proofErr w:type="spellStart"/>
      <w:r w:rsidRPr="006905CE">
        <w:rPr>
          <w:rFonts w:ascii="Calibri" w:cs="Calibri"/>
        </w:rPr>
        <w:t>problems</w:t>
      </w:r>
      <w:proofErr w:type="spellEnd"/>
      <w:r w:rsidRPr="006905CE">
        <w:rPr>
          <w:rFonts w:ascii="Calibri" w:cs="Calibri"/>
        </w:rPr>
        <w:t xml:space="preserve"> in </w:t>
      </w:r>
      <w:proofErr w:type="spellStart"/>
      <w:r w:rsidRPr="006905CE">
        <w:rPr>
          <w:rFonts w:ascii="Calibri" w:cs="Calibri"/>
        </w:rPr>
        <w:t>elderly</w:t>
      </w:r>
      <w:proofErr w:type="spellEnd"/>
      <w:r w:rsidRPr="006905CE">
        <w:rPr>
          <w:rFonts w:ascii="Calibri" w:cs="Calibri"/>
        </w:rPr>
        <w:t xml:space="preserve"> patients. </w:t>
      </w:r>
      <w:r w:rsidRPr="006905CE">
        <w:rPr>
          <w:rFonts w:ascii="Calibri" w:cs="Calibri"/>
          <w:i/>
          <w:iCs/>
        </w:rPr>
        <w:t xml:space="preserve">Journal of the American </w:t>
      </w:r>
      <w:proofErr w:type="spellStart"/>
      <w:r w:rsidRPr="006905CE">
        <w:rPr>
          <w:rFonts w:ascii="Calibri" w:cs="Calibri"/>
          <w:i/>
          <w:iCs/>
        </w:rPr>
        <w:t>Geriatrics</w:t>
      </w:r>
      <w:proofErr w:type="spellEnd"/>
      <w:r w:rsidRPr="006905CE">
        <w:rPr>
          <w:rFonts w:ascii="Calibri" w:cs="Calibri"/>
          <w:i/>
          <w:iCs/>
        </w:rPr>
        <w:t xml:space="preserve"> Society</w:t>
      </w:r>
      <w:r w:rsidRPr="006905CE">
        <w:rPr>
          <w:rFonts w:ascii="Calibri" w:cs="Calibri"/>
        </w:rPr>
        <w:t xml:space="preserve">, </w:t>
      </w:r>
      <w:r w:rsidRPr="006905CE">
        <w:rPr>
          <w:rFonts w:ascii="Calibri" w:cs="Calibri"/>
          <w:i/>
          <w:iCs/>
        </w:rPr>
        <w:t>34</w:t>
      </w:r>
      <w:r w:rsidRPr="006905CE">
        <w:rPr>
          <w:rFonts w:ascii="Calibri" w:cs="Calibri"/>
        </w:rPr>
        <w:t>(2), 119</w:t>
      </w:r>
      <w:r w:rsidRPr="006905CE">
        <w:rPr>
          <w:rFonts w:ascii="Cambria Math" w:hAnsi="Cambria Math" w:cs="Cambria Math"/>
        </w:rPr>
        <w:t>‑</w:t>
      </w:r>
      <w:r w:rsidRPr="006905CE">
        <w:rPr>
          <w:rFonts w:ascii="Calibri" w:cs="Calibri"/>
        </w:rPr>
        <w:t>126. https://doi.org/10.1111/j.1532-5415.1986.tb05480.x</w:t>
      </w:r>
    </w:p>
    <w:p w14:paraId="77B37BE4" w14:textId="77777777" w:rsidR="006905CE" w:rsidRPr="006905CE" w:rsidRDefault="006905CE" w:rsidP="006905CE">
      <w:pPr>
        <w:pStyle w:val="Bibliographie"/>
        <w:rPr>
          <w:rFonts w:ascii="Calibri" w:cs="Calibri"/>
        </w:rPr>
      </w:pPr>
      <w:proofErr w:type="spellStart"/>
      <w:r w:rsidRPr="006905CE">
        <w:rPr>
          <w:rFonts w:ascii="Calibri" w:cs="Calibri"/>
        </w:rPr>
        <w:t>Trimbur</w:t>
      </w:r>
      <w:proofErr w:type="spellEnd"/>
      <w:r w:rsidRPr="006905CE">
        <w:rPr>
          <w:rFonts w:ascii="Calibri" w:cs="Calibri"/>
        </w:rPr>
        <w:t xml:space="preserve">. (2021). </w:t>
      </w:r>
      <w:r w:rsidRPr="006905CE">
        <w:rPr>
          <w:rFonts w:ascii="Calibri" w:cs="Calibri"/>
          <w:i/>
          <w:iCs/>
        </w:rPr>
        <w:t>RÉALISER UNE ÉTUDE QUALITATIVE EN SANTÉ</w:t>
      </w:r>
      <w:r w:rsidRPr="006905CE">
        <w:rPr>
          <w:rFonts w:ascii="Calibri" w:cs="Calibri"/>
        </w:rPr>
        <w:t>.</w:t>
      </w:r>
    </w:p>
    <w:p w14:paraId="3BA4DB01" w14:textId="77777777" w:rsidR="006905CE" w:rsidRPr="006905CE" w:rsidRDefault="006905CE" w:rsidP="006905CE">
      <w:pPr>
        <w:pStyle w:val="Bibliographie"/>
        <w:rPr>
          <w:rFonts w:ascii="Calibri" w:cs="Calibri"/>
        </w:rPr>
      </w:pPr>
      <w:r w:rsidRPr="006905CE">
        <w:rPr>
          <w:rFonts w:ascii="Calibri" w:cs="Calibri"/>
        </w:rPr>
        <w:t xml:space="preserve">Tubiana, M. (2002). Le vieillissement : Aspects médicaux et sociaux. </w:t>
      </w:r>
      <w:r w:rsidRPr="006905CE">
        <w:rPr>
          <w:rFonts w:ascii="Calibri" w:cs="Calibri"/>
          <w:i/>
          <w:iCs/>
        </w:rPr>
        <w:t xml:space="preserve">Comptes Rendus Biologies, </w:t>
      </w:r>
      <w:proofErr w:type="spellStart"/>
      <w:r w:rsidRPr="006905CE">
        <w:rPr>
          <w:rFonts w:ascii="Calibri" w:cs="Calibri"/>
          <w:i/>
          <w:iCs/>
        </w:rPr>
        <w:t>Longevite</w:t>
      </w:r>
      <w:proofErr w:type="spellEnd"/>
      <w:r w:rsidRPr="006905CE">
        <w:rPr>
          <w:rFonts w:ascii="Calibri" w:cs="Calibri"/>
          <w:i/>
          <w:iCs/>
        </w:rPr>
        <w:t xml:space="preserve"> et vieillissement</w:t>
      </w:r>
      <w:r w:rsidRPr="006905CE">
        <w:rPr>
          <w:rFonts w:ascii="Calibri" w:cs="Calibri"/>
        </w:rPr>
        <w:t xml:space="preserve">, </w:t>
      </w:r>
      <w:r w:rsidRPr="006905CE">
        <w:rPr>
          <w:rFonts w:ascii="Calibri" w:cs="Calibri"/>
          <w:i/>
          <w:iCs/>
        </w:rPr>
        <w:t>325</w:t>
      </w:r>
      <w:r w:rsidRPr="006905CE">
        <w:rPr>
          <w:rFonts w:ascii="Calibri" w:cs="Calibri"/>
        </w:rPr>
        <w:t>(6), 699</w:t>
      </w:r>
      <w:r w:rsidRPr="006905CE">
        <w:rPr>
          <w:rFonts w:ascii="Cambria Math" w:hAnsi="Cambria Math" w:cs="Cambria Math"/>
        </w:rPr>
        <w:t>‑</w:t>
      </w:r>
      <w:r w:rsidRPr="006905CE">
        <w:rPr>
          <w:rFonts w:ascii="Calibri" w:cs="Calibri"/>
        </w:rPr>
        <w:t>717. https://doi.org/10.1016/S1631-0691(02)01482-8</w:t>
      </w:r>
    </w:p>
    <w:p w14:paraId="3E7294E6" w14:textId="77777777" w:rsidR="006905CE" w:rsidRPr="006905CE" w:rsidRDefault="006905CE" w:rsidP="006905CE">
      <w:pPr>
        <w:pStyle w:val="Bibliographie"/>
        <w:rPr>
          <w:rFonts w:ascii="Calibri" w:cs="Calibri"/>
        </w:rPr>
      </w:pPr>
      <w:r w:rsidRPr="006905CE">
        <w:rPr>
          <w:rFonts w:ascii="Calibri" w:cs="Calibri"/>
        </w:rPr>
        <w:t xml:space="preserve">Van Hove. (2021). </w:t>
      </w:r>
      <w:r w:rsidRPr="006905CE">
        <w:rPr>
          <w:rFonts w:ascii="Calibri" w:cs="Calibri"/>
          <w:i/>
          <w:iCs/>
        </w:rPr>
        <w:t>Poser la question du genre de manière inclusive</w:t>
      </w:r>
      <w:r w:rsidRPr="006905CE">
        <w:rPr>
          <w:rFonts w:ascii="Calibri" w:cs="Calibri"/>
        </w:rPr>
        <w:t>.</w:t>
      </w:r>
    </w:p>
    <w:p w14:paraId="4CC705BC" w14:textId="77777777" w:rsidR="006905CE" w:rsidRPr="006905CE" w:rsidRDefault="006905CE" w:rsidP="006905CE">
      <w:pPr>
        <w:pStyle w:val="Bibliographie"/>
        <w:rPr>
          <w:rFonts w:ascii="Calibri" w:cs="Calibri"/>
        </w:rPr>
      </w:pPr>
      <w:r w:rsidRPr="006905CE">
        <w:rPr>
          <w:rFonts w:ascii="Calibri" w:cs="Calibri"/>
        </w:rPr>
        <w:lastRenderedPageBreak/>
        <w:t xml:space="preserve">Van Mol, C. (2017). </w:t>
      </w:r>
      <w:proofErr w:type="spellStart"/>
      <w:r w:rsidRPr="006905CE">
        <w:rPr>
          <w:rFonts w:ascii="Calibri" w:cs="Calibri"/>
        </w:rPr>
        <w:t>Improving</w:t>
      </w:r>
      <w:proofErr w:type="spellEnd"/>
      <w:r w:rsidRPr="006905CE">
        <w:rPr>
          <w:rFonts w:ascii="Calibri" w:cs="Calibri"/>
        </w:rPr>
        <w:t xml:space="preserve"> web </w:t>
      </w:r>
      <w:proofErr w:type="spellStart"/>
      <w:r w:rsidRPr="006905CE">
        <w:rPr>
          <w:rFonts w:ascii="Calibri" w:cs="Calibri"/>
        </w:rPr>
        <w:t>survey</w:t>
      </w:r>
      <w:proofErr w:type="spellEnd"/>
      <w:r w:rsidRPr="006905CE">
        <w:rPr>
          <w:rFonts w:ascii="Calibri" w:cs="Calibri"/>
        </w:rPr>
        <w:t xml:space="preserve"> </w:t>
      </w:r>
      <w:proofErr w:type="spellStart"/>
      <w:r w:rsidRPr="006905CE">
        <w:rPr>
          <w:rFonts w:ascii="Calibri" w:cs="Calibri"/>
        </w:rPr>
        <w:t>efficiency</w:t>
      </w:r>
      <w:proofErr w:type="spellEnd"/>
      <w:r w:rsidRPr="006905CE">
        <w:rPr>
          <w:rFonts w:ascii="Calibri" w:cs="Calibri"/>
        </w:rPr>
        <w:t xml:space="preserve"> : The impact of an extra </w:t>
      </w:r>
      <w:proofErr w:type="spellStart"/>
      <w:r w:rsidRPr="006905CE">
        <w:rPr>
          <w:rFonts w:ascii="Calibri" w:cs="Calibri"/>
        </w:rPr>
        <w:t>reminder</w:t>
      </w:r>
      <w:proofErr w:type="spellEnd"/>
      <w:r w:rsidRPr="006905CE">
        <w:rPr>
          <w:rFonts w:ascii="Calibri" w:cs="Calibri"/>
        </w:rPr>
        <w:t xml:space="preserve"> and </w:t>
      </w:r>
      <w:proofErr w:type="spellStart"/>
      <w:r w:rsidRPr="006905CE">
        <w:rPr>
          <w:rFonts w:ascii="Calibri" w:cs="Calibri"/>
        </w:rPr>
        <w:t>reminder</w:t>
      </w:r>
      <w:proofErr w:type="spellEnd"/>
      <w:r w:rsidRPr="006905CE">
        <w:rPr>
          <w:rFonts w:ascii="Calibri" w:cs="Calibri"/>
        </w:rPr>
        <w:t xml:space="preserve"> content on web </w:t>
      </w:r>
      <w:proofErr w:type="spellStart"/>
      <w:r w:rsidRPr="006905CE">
        <w:rPr>
          <w:rFonts w:ascii="Calibri" w:cs="Calibri"/>
        </w:rPr>
        <w:t>survey</w:t>
      </w:r>
      <w:proofErr w:type="spellEnd"/>
      <w:r w:rsidRPr="006905CE">
        <w:rPr>
          <w:rFonts w:ascii="Calibri" w:cs="Calibri"/>
        </w:rPr>
        <w:t xml:space="preserve"> </w:t>
      </w:r>
      <w:proofErr w:type="spellStart"/>
      <w:r w:rsidRPr="006905CE">
        <w:rPr>
          <w:rFonts w:ascii="Calibri" w:cs="Calibri"/>
        </w:rPr>
        <w:t>response</w:t>
      </w:r>
      <w:proofErr w:type="spellEnd"/>
      <w:r w:rsidRPr="006905CE">
        <w:rPr>
          <w:rFonts w:ascii="Calibri" w:cs="Calibri"/>
        </w:rPr>
        <w:t xml:space="preserve">. </w:t>
      </w:r>
      <w:r w:rsidRPr="006905CE">
        <w:rPr>
          <w:rFonts w:ascii="Calibri" w:cs="Calibri"/>
          <w:i/>
          <w:iCs/>
        </w:rPr>
        <w:t xml:space="preserve">International Journal of Social </w:t>
      </w:r>
      <w:proofErr w:type="spellStart"/>
      <w:r w:rsidRPr="006905CE">
        <w:rPr>
          <w:rFonts w:ascii="Calibri" w:cs="Calibri"/>
          <w:i/>
          <w:iCs/>
        </w:rPr>
        <w:t>Research</w:t>
      </w:r>
      <w:proofErr w:type="spellEnd"/>
      <w:r w:rsidRPr="006905CE">
        <w:rPr>
          <w:rFonts w:ascii="Calibri" w:cs="Calibri"/>
          <w:i/>
          <w:iCs/>
        </w:rPr>
        <w:t xml:space="preserve"> </w:t>
      </w:r>
      <w:proofErr w:type="spellStart"/>
      <w:proofErr w:type="gramStart"/>
      <w:r w:rsidRPr="006905CE">
        <w:rPr>
          <w:rFonts w:ascii="Calibri" w:cs="Calibri"/>
          <w:i/>
          <w:iCs/>
        </w:rPr>
        <w:t>Methodology</w:t>
      </w:r>
      <w:proofErr w:type="spellEnd"/>
      <w:r w:rsidRPr="006905CE">
        <w:rPr>
          <w:rFonts w:ascii="Calibri" w:cs="Calibri"/>
          <w:i/>
          <w:iCs/>
        </w:rPr>
        <w:t>:</w:t>
      </w:r>
      <w:proofErr w:type="gramEnd"/>
      <w:r w:rsidRPr="006905CE">
        <w:rPr>
          <w:rFonts w:ascii="Calibri" w:cs="Calibri"/>
          <w:i/>
          <w:iCs/>
        </w:rPr>
        <w:t xml:space="preserve"> Theory &amp; Practice</w:t>
      </w:r>
      <w:r w:rsidRPr="006905CE">
        <w:rPr>
          <w:rFonts w:ascii="Calibri" w:cs="Calibri"/>
        </w:rPr>
        <w:t xml:space="preserve">, </w:t>
      </w:r>
      <w:r w:rsidRPr="006905CE">
        <w:rPr>
          <w:rFonts w:ascii="Calibri" w:cs="Calibri"/>
          <w:i/>
          <w:iCs/>
        </w:rPr>
        <w:t>20</w:t>
      </w:r>
      <w:r w:rsidRPr="006905CE">
        <w:rPr>
          <w:rFonts w:ascii="Calibri" w:cs="Calibri"/>
        </w:rPr>
        <w:t>(4), 317</w:t>
      </w:r>
      <w:r w:rsidRPr="006905CE">
        <w:rPr>
          <w:rFonts w:ascii="Cambria Math" w:hAnsi="Cambria Math" w:cs="Cambria Math"/>
        </w:rPr>
        <w:t>‑</w:t>
      </w:r>
      <w:r w:rsidRPr="006905CE">
        <w:rPr>
          <w:rFonts w:ascii="Calibri" w:cs="Calibri"/>
        </w:rPr>
        <w:t>327. https://doi.org/10.1080/13645579.2016.1185255</w:t>
      </w:r>
    </w:p>
    <w:p w14:paraId="0A33D065" w14:textId="77777777" w:rsidR="006905CE" w:rsidRPr="006905CE" w:rsidRDefault="006905CE" w:rsidP="006905CE">
      <w:pPr>
        <w:pStyle w:val="Bibliographie"/>
        <w:rPr>
          <w:rFonts w:ascii="Calibri" w:cs="Calibri"/>
        </w:rPr>
      </w:pPr>
      <w:r w:rsidRPr="006905CE">
        <w:rPr>
          <w:rFonts w:ascii="Calibri" w:cs="Calibri"/>
        </w:rPr>
        <w:t xml:space="preserve">Vergé, C., </w:t>
      </w:r>
      <w:proofErr w:type="spellStart"/>
      <w:r w:rsidRPr="006905CE">
        <w:rPr>
          <w:rFonts w:ascii="Calibri" w:cs="Calibri"/>
        </w:rPr>
        <w:t>Dorier</w:t>
      </w:r>
      <w:proofErr w:type="spellEnd"/>
      <w:r w:rsidRPr="006905CE">
        <w:rPr>
          <w:rFonts w:ascii="Calibri" w:cs="Calibri"/>
        </w:rPr>
        <w:t xml:space="preserve">, S., </w:t>
      </w:r>
      <w:proofErr w:type="spellStart"/>
      <w:r w:rsidRPr="006905CE">
        <w:rPr>
          <w:rFonts w:ascii="Calibri" w:cs="Calibri"/>
        </w:rPr>
        <w:t>Addario</w:t>
      </w:r>
      <w:proofErr w:type="spellEnd"/>
      <w:r w:rsidRPr="006905CE">
        <w:rPr>
          <w:rFonts w:ascii="Calibri" w:cs="Calibri"/>
        </w:rPr>
        <w:t xml:space="preserve">, A., </w:t>
      </w:r>
      <w:proofErr w:type="spellStart"/>
      <w:r w:rsidRPr="006905CE">
        <w:rPr>
          <w:rFonts w:ascii="Calibri" w:cs="Calibri"/>
        </w:rPr>
        <w:t>Gavazzi</w:t>
      </w:r>
      <w:proofErr w:type="spellEnd"/>
      <w:r w:rsidRPr="006905CE">
        <w:rPr>
          <w:rFonts w:ascii="Calibri" w:cs="Calibri"/>
        </w:rPr>
        <w:t xml:space="preserve">, G., &amp; Barth, N. (2024a). Plan Antichute des personnes âgées : Diagnostic territorial des actions existantes en lien avec la prévention des chutes et/ou du parcours chuteur en région Auvergne Rhône-Alpes. </w:t>
      </w:r>
      <w:r w:rsidRPr="006905CE">
        <w:rPr>
          <w:rFonts w:ascii="Calibri" w:cs="Calibri"/>
          <w:i/>
          <w:iCs/>
        </w:rPr>
        <w:t>Santé Publique</w:t>
      </w:r>
      <w:r w:rsidRPr="006905CE">
        <w:rPr>
          <w:rFonts w:ascii="Calibri" w:cs="Calibri"/>
        </w:rPr>
        <w:t xml:space="preserve">, </w:t>
      </w:r>
      <w:r w:rsidRPr="006905CE">
        <w:rPr>
          <w:rFonts w:ascii="Calibri" w:cs="Calibri"/>
          <w:i/>
          <w:iCs/>
        </w:rPr>
        <w:t>36</w:t>
      </w:r>
      <w:r w:rsidRPr="006905CE">
        <w:rPr>
          <w:rFonts w:ascii="Calibri" w:cs="Calibri"/>
        </w:rPr>
        <w:t>(HS1), 100</w:t>
      </w:r>
      <w:r w:rsidRPr="006905CE">
        <w:rPr>
          <w:rFonts w:ascii="Cambria Math" w:hAnsi="Cambria Math" w:cs="Cambria Math"/>
        </w:rPr>
        <w:t>‑</w:t>
      </w:r>
      <w:r w:rsidRPr="006905CE">
        <w:rPr>
          <w:rFonts w:ascii="Calibri" w:cs="Calibri"/>
        </w:rPr>
        <w:t>100. https://doi.org/10.3917/spub.hs1.2024.0100</w:t>
      </w:r>
    </w:p>
    <w:p w14:paraId="0BB91433" w14:textId="77777777" w:rsidR="006905CE" w:rsidRPr="006905CE" w:rsidRDefault="006905CE" w:rsidP="006905CE">
      <w:pPr>
        <w:pStyle w:val="Bibliographie"/>
        <w:rPr>
          <w:rFonts w:ascii="Calibri" w:cs="Calibri"/>
        </w:rPr>
      </w:pPr>
      <w:r w:rsidRPr="006905CE">
        <w:rPr>
          <w:rFonts w:ascii="Calibri" w:cs="Calibri"/>
          <w:i/>
          <w:iCs/>
        </w:rPr>
        <w:t xml:space="preserve">WHO - </w:t>
      </w:r>
      <w:proofErr w:type="spellStart"/>
      <w:r w:rsidRPr="006905CE">
        <w:rPr>
          <w:rFonts w:ascii="Calibri" w:cs="Calibri"/>
          <w:i/>
          <w:iCs/>
        </w:rPr>
        <w:t>Definition</w:t>
      </w:r>
      <w:proofErr w:type="spellEnd"/>
      <w:r w:rsidRPr="006905CE">
        <w:rPr>
          <w:rFonts w:ascii="Calibri" w:cs="Calibri"/>
          <w:i/>
          <w:iCs/>
        </w:rPr>
        <w:t xml:space="preserve"> of An </w:t>
      </w:r>
      <w:proofErr w:type="spellStart"/>
      <w:r w:rsidRPr="006905CE">
        <w:rPr>
          <w:rFonts w:ascii="Calibri" w:cs="Calibri"/>
          <w:i/>
          <w:iCs/>
        </w:rPr>
        <w:t>Older</w:t>
      </w:r>
      <w:proofErr w:type="spellEnd"/>
      <w:r w:rsidRPr="006905CE">
        <w:rPr>
          <w:rFonts w:ascii="Calibri" w:cs="Calibri"/>
          <w:i/>
          <w:iCs/>
        </w:rPr>
        <w:t xml:space="preserve"> or </w:t>
      </w:r>
      <w:proofErr w:type="spellStart"/>
      <w:r w:rsidRPr="006905CE">
        <w:rPr>
          <w:rFonts w:ascii="Calibri" w:cs="Calibri"/>
          <w:i/>
          <w:iCs/>
        </w:rPr>
        <w:t>Elderly</w:t>
      </w:r>
      <w:proofErr w:type="spellEnd"/>
      <w:r w:rsidRPr="006905CE">
        <w:rPr>
          <w:rFonts w:ascii="Calibri" w:cs="Calibri"/>
          <w:i/>
          <w:iCs/>
        </w:rPr>
        <w:t xml:space="preserve"> Person</w:t>
      </w:r>
      <w:r w:rsidRPr="006905CE">
        <w:rPr>
          <w:rFonts w:ascii="Calibri" w:cs="Calibri"/>
        </w:rPr>
        <w:t>. (2024, décembre 16). https://www.scribd.com/document/190077600/WHO-Definition-of-an-Older-or-Elderly-Person</w:t>
      </w:r>
    </w:p>
    <w:p w14:paraId="56489509" w14:textId="77777777" w:rsidR="006905CE" w:rsidRPr="006905CE" w:rsidRDefault="006905CE" w:rsidP="006905CE">
      <w:pPr>
        <w:pStyle w:val="Bibliographie"/>
        <w:rPr>
          <w:rFonts w:ascii="Calibri" w:cs="Calibri"/>
        </w:rPr>
      </w:pPr>
      <w:r w:rsidRPr="006905CE">
        <w:rPr>
          <w:rFonts w:ascii="Calibri" w:cs="Calibri"/>
        </w:rPr>
        <w:t xml:space="preserve">Xing, L., Bao, Y., Wang, B., Shi, M., Wei, Y., Huang, X., </w:t>
      </w:r>
      <w:proofErr w:type="spellStart"/>
      <w:r w:rsidRPr="006905CE">
        <w:rPr>
          <w:rFonts w:ascii="Calibri" w:cs="Calibri"/>
        </w:rPr>
        <w:t>Dai</w:t>
      </w:r>
      <w:proofErr w:type="spellEnd"/>
      <w:r w:rsidRPr="006905CE">
        <w:rPr>
          <w:rFonts w:ascii="Calibri" w:cs="Calibri"/>
        </w:rPr>
        <w:t xml:space="preserve">, Y., Shi, H., Gai, X., Luo, Q., Yin, Y., &amp; Qin, D. (2023a). </w:t>
      </w:r>
      <w:proofErr w:type="spellStart"/>
      <w:r w:rsidRPr="006905CE">
        <w:rPr>
          <w:rFonts w:ascii="Calibri" w:cs="Calibri"/>
        </w:rPr>
        <w:t>Falls</w:t>
      </w:r>
      <w:proofErr w:type="spellEnd"/>
      <w:r w:rsidRPr="006905CE">
        <w:rPr>
          <w:rFonts w:ascii="Calibri" w:cs="Calibri"/>
        </w:rPr>
        <w:t xml:space="preserve"> </w:t>
      </w:r>
      <w:proofErr w:type="spellStart"/>
      <w:r w:rsidRPr="006905CE">
        <w:rPr>
          <w:rFonts w:ascii="Calibri" w:cs="Calibri"/>
        </w:rPr>
        <w:t>caused</w:t>
      </w:r>
      <w:proofErr w:type="spellEnd"/>
      <w:r w:rsidRPr="006905CE">
        <w:rPr>
          <w:rFonts w:ascii="Calibri" w:cs="Calibri"/>
        </w:rPr>
        <w:t xml:space="preserve"> by balance </w:t>
      </w:r>
      <w:proofErr w:type="spellStart"/>
      <w:r w:rsidRPr="006905CE">
        <w:rPr>
          <w:rFonts w:ascii="Calibri" w:cs="Calibri"/>
        </w:rPr>
        <w:t>disorders</w:t>
      </w:r>
      <w:proofErr w:type="spellEnd"/>
      <w:r w:rsidRPr="006905CE">
        <w:rPr>
          <w:rFonts w:ascii="Calibri" w:cs="Calibri"/>
        </w:rPr>
        <w:t xml:space="preserve"> in the </w:t>
      </w:r>
      <w:proofErr w:type="spellStart"/>
      <w:r w:rsidRPr="006905CE">
        <w:rPr>
          <w:rFonts w:ascii="Calibri" w:cs="Calibri"/>
        </w:rPr>
        <w:t>elderly</w:t>
      </w:r>
      <w:proofErr w:type="spellEnd"/>
      <w:r w:rsidRPr="006905CE">
        <w:rPr>
          <w:rFonts w:ascii="Calibri" w:cs="Calibri"/>
        </w:rPr>
        <w:t xml:space="preserve"> </w:t>
      </w:r>
      <w:proofErr w:type="spellStart"/>
      <w:r w:rsidRPr="006905CE">
        <w:rPr>
          <w:rFonts w:ascii="Calibri" w:cs="Calibri"/>
        </w:rPr>
        <w:t>with</w:t>
      </w:r>
      <w:proofErr w:type="spellEnd"/>
      <w:r w:rsidRPr="006905CE">
        <w:rPr>
          <w:rFonts w:ascii="Calibri" w:cs="Calibri"/>
        </w:rPr>
        <w:t xml:space="preserve"> multiple </w:t>
      </w:r>
      <w:proofErr w:type="spellStart"/>
      <w:r w:rsidRPr="006905CE">
        <w:rPr>
          <w:rFonts w:ascii="Calibri" w:cs="Calibri"/>
        </w:rPr>
        <w:t>systems</w:t>
      </w:r>
      <w:proofErr w:type="spellEnd"/>
      <w:r w:rsidRPr="006905CE">
        <w:rPr>
          <w:rFonts w:ascii="Calibri" w:cs="Calibri"/>
        </w:rPr>
        <w:t xml:space="preserve"> </w:t>
      </w:r>
      <w:proofErr w:type="spellStart"/>
      <w:r w:rsidRPr="006905CE">
        <w:rPr>
          <w:rFonts w:ascii="Calibri" w:cs="Calibri"/>
        </w:rPr>
        <w:t>involved</w:t>
      </w:r>
      <w:proofErr w:type="spellEnd"/>
      <w:r w:rsidRPr="006905CE">
        <w:rPr>
          <w:rFonts w:ascii="Calibri" w:cs="Calibri"/>
        </w:rPr>
        <w:t xml:space="preserve"> : </w:t>
      </w:r>
      <w:proofErr w:type="spellStart"/>
      <w:r w:rsidRPr="006905CE">
        <w:rPr>
          <w:rFonts w:ascii="Calibri" w:cs="Calibri"/>
        </w:rPr>
        <w:t>Pathogenic</w:t>
      </w:r>
      <w:proofErr w:type="spellEnd"/>
      <w:r w:rsidRPr="006905CE">
        <w:rPr>
          <w:rFonts w:ascii="Calibri" w:cs="Calibri"/>
        </w:rPr>
        <w:t xml:space="preserve"> </w:t>
      </w:r>
      <w:proofErr w:type="spellStart"/>
      <w:r w:rsidRPr="006905CE">
        <w:rPr>
          <w:rFonts w:ascii="Calibri" w:cs="Calibri"/>
        </w:rPr>
        <w:t>mechanisms</w:t>
      </w:r>
      <w:proofErr w:type="spellEnd"/>
      <w:r w:rsidRPr="006905CE">
        <w:rPr>
          <w:rFonts w:ascii="Calibri" w:cs="Calibri"/>
        </w:rPr>
        <w:t xml:space="preserve"> and </w:t>
      </w:r>
      <w:proofErr w:type="spellStart"/>
      <w:r w:rsidRPr="006905CE">
        <w:rPr>
          <w:rFonts w:ascii="Calibri" w:cs="Calibri"/>
        </w:rPr>
        <w:t>treatment</w:t>
      </w:r>
      <w:proofErr w:type="spellEnd"/>
      <w:r w:rsidRPr="006905CE">
        <w:rPr>
          <w:rFonts w:ascii="Calibri" w:cs="Calibri"/>
        </w:rPr>
        <w:t xml:space="preserve"> </w:t>
      </w:r>
      <w:proofErr w:type="spellStart"/>
      <w:r w:rsidRPr="006905CE">
        <w:rPr>
          <w:rFonts w:ascii="Calibri" w:cs="Calibri"/>
        </w:rPr>
        <w:t>strategies</w:t>
      </w:r>
      <w:proofErr w:type="spellEnd"/>
      <w:r w:rsidRPr="006905CE">
        <w:rPr>
          <w:rFonts w:ascii="Calibri" w:cs="Calibri"/>
        </w:rPr>
        <w:t xml:space="preserve">. </w:t>
      </w:r>
      <w:proofErr w:type="spellStart"/>
      <w:r w:rsidRPr="006905CE">
        <w:rPr>
          <w:rFonts w:ascii="Calibri" w:cs="Calibri"/>
          <w:i/>
          <w:iCs/>
        </w:rPr>
        <w:t>Frontiers</w:t>
      </w:r>
      <w:proofErr w:type="spellEnd"/>
      <w:r w:rsidRPr="006905CE">
        <w:rPr>
          <w:rFonts w:ascii="Calibri" w:cs="Calibri"/>
          <w:i/>
          <w:iCs/>
        </w:rPr>
        <w:t xml:space="preserve"> in </w:t>
      </w:r>
      <w:proofErr w:type="spellStart"/>
      <w:r w:rsidRPr="006905CE">
        <w:rPr>
          <w:rFonts w:ascii="Calibri" w:cs="Calibri"/>
          <w:i/>
          <w:iCs/>
        </w:rPr>
        <w:t>Neurology</w:t>
      </w:r>
      <w:proofErr w:type="spellEnd"/>
      <w:r w:rsidRPr="006905CE">
        <w:rPr>
          <w:rFonts w:ascii="Calibri" w:cs="Calibri"/>
        </w:rPr>
        <w:t xml:space="preserve">, </w:t>
      </w:r>
      <w:r w:rsidRPr="006905CE">
        <w:rPr>
          <w:rFonts w:ascii="Calibri" w:cs="Calibri"/>
          <w:i/>
          <w:iCs/>
        </w:rPr>
        <w:t>14</w:t>
      </w:r>
      <w:r w:rsidRPr="006905CE">
        <w:rPr>
          <w:rFonts w:ascii="Calibri" w:cs="Calibri"/>
        </w:rPr>
        <w:t>, 1128092. https://doi.org/10.3389/fneur.2023.1128092</w:t>
      </w:r>
    </w:p>
    <w:p w14:paraId="0BE78B04" w14:textId="77777777" w:rsidR="006905CE" w:rsidRPr="006905CE" w:rsidRDefault="006905CE" w:rsidP="006905CE">
      <w:pPr>
        <w:pStyle w:val="Bibliographie"/>
        <w:rPr>
          <w:rFonts w:ascii="Calibri" w:cs="Calibri"/>
        </w:rPr>
      </w:pPr>
      <w:proofErr w:type="spellStart"/>
      <w:r w:rsidRPr="006905CE">
        <w:rPr>
          <w:rFonts w:ascii="Calibri" w:cs="Calibri"/>
        </w:rPr>
        <w:t>Yelnik</w:t>
      </w:r>
      <w:proofErr w:type="spellEnd"/>
      <w:r w:rsidRPr="006905CE">
        <w:rPr>
          <w:rFonts w:ascii="Calibri" w:cs="Calibri"/>
        </w:rPr>
        <w:t xml:space="preserve">, A. P. (2023). Contrôle central de l’équilibre et prévention des chutes : Impact sur la rééducation. </w:t>
      </w:r>
      <w:r w:rsidRPr="006905CE">
        <w:rPr>
          <w:rFonts w:ascii="Calibri" w:cs="Calibri"/>
          <w:i/>
          <w:iCs/>
        </w:rPr>
        <w:t>Bulletin de l’Académie Nationale de Médecine</w:t>
      </w:r>
      <w:r w:rsidRPr="006905CE">
        <w:rPr>
          <w:rFonts w:ascii="Calibri" w:cs="Calibri"/>
        </w:rPr>
        <w:t xml:space="preserve">, </w:t>
      </w:r>
      <w:r w:rsidRPr="006905CE">
        <w:rPr>
          <w:rFonts w:ascii="Calibri" w:cs="Calibri"/>
          <w:i/>
          <w:iCs/>
        </w:rPr>
        <w:t>207</w:t>
      </w:r>
      <w:r w:rsidRPr="006905CE">
        <w:rPr>
          <w:rFonts w:ascii="Calibri" w:cs="Calibri"/>
        </w:rPr>
        <w:t>(5), 649</w:t>
      </w:r>
      <w:r w:rsidRPr="006905CE">
        <w:rPr>
          <w:rFonts w:ascii="Cambria Math" w:hAnsi="Cambria Math" w:cs="Cambria Math"/>
        </w:rPr>
        <w:t>‑</w:t>
      </w:r>
      <w:r w:rsidRPr="006905CE">
        <w:rPr>
          <w:rFonts w:ascii="Calibri" w:cs="Calibri"/>
        </w:rPr>
        <w:t>660. https://doi.org/10.1016/j.banm.2023.02.008</w:t>
      </w:r>
    </w:p>
    <w:p w14:paraId="4CCCDAEA" w14:textId="77777777" w:rsidR="006905CE" w:rsidRPr="006905CE" w:rsidRDefault="006905CE" w:rsidP="006905CE">
      <w:pPr>
        <w:pStyle w:val="Bibliographie"/>
        <w:rPr>
          <w:rFonts w:ascii="Calibri" w:cs="Calibri"/>
        </w:rPr>
      </w:pPr>
      <w:proofErr w:type="spellStart"/>
      <w:r w:rsidRPr="006905CE">
        <w:rPr>
          <w:rFonts w:ascii="Calibri" w:cs="Calibri"/>
        </w:rPr>
        <w:t>Zimba</w:t>
      </w:r>
      <w:proofErr w:type="spellEnd"/>
      <w:r w:rsidRPr="006905CE">
        <w:rPr>
          <w:rFonts w:ascii="Calibri" w:cs="Calibri"/>
        </w:rPr>
        <w:t xml:space="preserve">, O., &amp; </w:t>
      </w:r>
      <w:proofErr w:type="spellStart"/>
      <w:r w:rsidRPr="006905CE">
        <w:rPr>
          <w:rFonts w:ascii="Calibri" w:cs="Calibri"/>
        </w:rPr>
        <w:t>Gasparyan</w:t>
      </w:r>
      <w:proofErr w:type="spellEnd"/>
      <w:r w:rsidRPr="006905CE">
        <w:rPr>
          <w:rFonts w:ascii="Calibri" w:cs="Calibri"/>
        </w:rPr>
        <w:t xml:space="preserve">, A. Y. (2023). </w:t>
      </w:r>
      <w:proofErr w:type="spellStart"/>
      <w:r w:rsidRPr="006905CE">
        <w:rPr>
          <w:rFonts w:ascii="Calibri" w:cs="Calibri"/>
        </w:rPr>
        <w:t>Designing</w:t>
      </w:r>
      <w:proofErr w:type="spellEnd"/>
      <w:r w:rsidRPr="006905CE">
        <w:rPr>
          <w:rFonts w:ascii="Calibri" w:cs="Calibri"/>
        </w:rPr>
        <w:t xml:space="preserve">, </w:t>
      </w:r>
      <w:proofErr w:type="spellStart"/>
      <w:r w:rsidRPr="006905CE">
        <w:rPr>
          <w:rFonts w:ascii="Calibri" w:cs="Calibri"/>
        </w:rPr>
        <w:t>Conducting</w:t>
      </w:r>
      <w:proofErr w:type="spellEnd"/>
      <w:r w:rsidRPr="006905CE">
        <w:rPr>
          <w:rFonts w:ascii="Calibri" w:cs="Calibri"/>
        </w:rPr>
        <w:t xml:space="preserve">, and </w:t>
      </w:r>
      <w:proofErr w:type="spellStart"/>
      <w:r w:rsidRPr="006905CE">
        <w:rPr>
          <w:rFonts w:ascii="Calibri" w:cs="Calibri"/>
        </w:rPr>
        <w:t>Reporting</w:t>
      </w:r>
      <w:proofErr w:type="spellEnd"/>
      <w:r w:rsidRPr="006905CE">
        <w:rPr>
          <w:rFonts w:ascii="Calibri" w:cs="Calibri"/>
        </w:rPr>
        <w:t xml:space="preserve"> Survey </w:t>
      </w:r>
      <w:proofErr w:type="spellStart"/>
      <w:r w:rsidRPr="006905CE">
        <w:rPr>
          <w:rFonts w:ascii="Calibri" w:cs="Calibri"/>
        </w:rPr>
        <w:t>Studies</w:t>
      </w:r>
      <w:proofErr w:type="spellEnd"/>
      <w:r w:rsidRPr="006905CE">
        <w:rPr>
          <w:rFonts w:ascii="Calibri" w:cs="Calibri"/>
        </w:rPr>
        <w:t xml:space="preserve"> : A Primer for </w:t>
      </w:r>
      <w:proofErr w:type="spellStart"/>
      <w:r w:rsidRPr="006905CE">
        <w:rPr>
          <w:rFonts w:ascii="Calibri" w:cs="Calibri"/>
        </w:rPr>
        <w:t>Researchers</w:t>
      </w:r>
      <w:proofErr w:type="spellEnd"/>
      <w:r w:rsidRPr="006905CE">
        <w:rPr>
          <w:rFonts w:ascii="Calibri" w:cs="Calibri"/>
        </w:rPr>
        <w:t xml:space="preserve">. </w:t>
      </w:r>
      <w:r w:rsidRPr="006905CE">
        <w:rPr>
          <w:rFonts w:ascii="Calibri" w:cs="Calibri"/>
          <w:i/>
          <w:iCs/>
        </w:rPr>
        <w:t xml:space="preserve">Journal of </w:t>
      </w:r>
      <w:proofErr w:type="spellStart"/>
      <w:r w:rsidRPr="006905CE">
        <w:rPr>
          <w:rFonts w:ascii="Calibri" w:cs="Calibri"/>
          <w:i/>
          <w:iCs/>
        </w:rPr>
        <w:t>Korean</w:t>
      </w:r>
      <w:proofErr w:type="spellEnd"/>
      <w:r w:rsidRPr="006905CE">
        <w:rPr>
          <w:rFonts w:ascii="Calibri" w:cs="Calibri"/>
          <w:i/>
          <w:iCs/>
        </w:rPr>
        <w:t xml:space="preserve"> </w:t>
      </w:r>
      <w:proofErr w:type="spellStart"/>
      <w:r w:rsidRPr="006905CE">
        <w:rPr>
          <w:rFonts w:ascii="Calibri" w:cs="Calibri"/>
          <w:i/>
          <w:iCs/>
        </w:rPr>
        <w:t>Medical</w:t>
      </w:r>
      <w:proofErr w:type="spellEnd"/>
      <w:r w:rsidRPr="006905CE">
        <w:rPr>
          <w:rFonts w:ascii="Calibri" w:cs="Calibri"/>
          <w:i/>
          <w:iCs/>
        </w:rPr>
        <w:t xml:space="preserve"> Science</w:t>
      </w:r>
      <w:r w:rsidRPr="006905CE">
        <w:rPr>
          <w:rFonts w:ascii="Calibri" w:cs="Calibri"/>
        </w:rPr>
        <w:t xml:space="preserve">, </w:t>
      </w:r>
      <w:r w:rsidRPr="006905CE">
        <w:rPr>
          <w:rFonts w:ascii="Calibri" w:cs="Calibri"/>
          <w:i/>
          <w:iCs/>
        </w:rPr>
        <w:t>38</w:t>
      </w:r>
      <w:r w:rsidRPr="006905CE">
        <w:rPr>
          <w:rFonts w:ascii="Calibri" w:cs="Calibri"/>
        </w:rPr>
        <w:t>(48), e403. https://doi.org/10.3346/jkms.2023.38.e403</w:t>
      </w:r>
    </w:p>
    <w:p w14:paraId="1EADABB2" w14:textId="69F72144" w:rsidR="006905CE" w:rsidRPr="006905CE" w:rsidRDefault="006905CE" w:rsidP="006905CE">
      <w:r>
        <w:fldChar w:fldCharType="end"/>
      </w:r>
    </w:p>
    <w:p w14:paraId="69249DEC" w14:textId="77777777" w:rsidR="008C100D" w:rsidRPr="008D277B" w:rsidRDefault="008C100D" w:rsidP="008D277B">
      <w:pPr>
        <w:spacing w:line="360" w:lineRule="auto"/>
        <w:jc w:val="both"/>
        <w:rPr>
          <w:rFonts w:cstheme="minorHAnsi"/>
        </w:rPr>
      </w:pPr>
    </w:p>
    <w:p w14:paraId="3BC53238" w14:textId="77777777" w:rsidR="008F79EE" w:rsidRPr="008D277B" w:rsidRDefault="008F79EE" w:rsidP="008D277B">
      <w:pPr>
        <w:spacing w:line="360" w:lineRule="auto"/>
        <w:jc w:val="both"/>
        <w:rPr>
          <w:rFonts w:cstheme="minorHAnsi"/>
        </w:rPr>
      </w:pPr>
    </w:p>
    <w:p w14:paraId="5F2C7EB5" w14:textId="77777777" w:rsidR="008F79EE" w:rsidRPr="008D277B" w:rsidRDefault="008F79EE" w:rsidP="008D277B">
      <w:pPr>
        <w:spacing w:line="360" w:lineRule="auto"/>
        <w:jc w:val="both"/>
        <w:rPr>
          <w:rFonts w:cstheme="minorHAnsi"/>
        </w:rPr>
      </w:pPr>
    </w:p>
    <w:p w14:paraId="3E8EB028" w14:textId="77777777" w:rsidR="00401753" w:rsidRPr="008D277B" w:rsidRDefault="00401753" w:rsidP="008D277B">
      <w:pPr>
        <w:spacing w:line="360" w:lineRule="auto"/>
        <w:jc w:val="both"/>
        <w:rPr>
          <w:rFonts w:cstheme="minorHAnsi"/>
        </w:rPr>
      </w:pPr>
    </w:p>
    <w:p w14:paraId="2205D24F" w14:textId="0860A9C1" w:rsidR="00401753" w:rsidRPr="008D277B" w:rsidRDefault="00401753" w:rsidP="008D277B">
      <w:pPr>
        <w:spacing w:line="360" w:lineRule="auto"/>
        <w:jc w:val="both"/>
        <w:rPr>
          <w:rFonts w:cstheme="minorHAnsi"/>
        </w:rPr>
      </w:pPr>
    </w:p>
    <w:p w14:paraId="195887CD" w14:textId="7BB4E0D8" w:rsidR="00B5382A" w:rsidRPr="00B5382A" w:rsidRDefault="00B5382A" w:rsidP="00B5382A">
      <w:pPr>
        <w:pStyle w:val="Titre1"/>
      </w:pPr>
      <w:bookmarkStart w:id="102" w:name="_Toc221704665"/>
      <w:r>
        <w:lastRenderedPageBreak/>
        <w:t>Table des annexes</w:t>
      </w:r>
      <w:bookmarkEnd w:id="102"/>
      <w:r w:rsidR="00401753" w:rsidRPr="008D277B">
        <w:tab/>
      </w:r>
    </w:p>
    <w:p w14:paraId="0C5526CF" w14:textId="774B285E" w:rsidR="00B5382A" w:rsidRDefault="00B5382A" w:rsidP="008D277B">
      <w:pPr>
        <w:spacing w:line="360" w:lineRule="auto"/>
        <w:jc w:val="both"/>
        <w:rPr>
          <w:noProof/>
        </w:rPr>
      </w:pPr>
      <w:r>
        <w:rPr>
          <w:rFonts w:cstheme="minorHAnsi"/>
        </w:rPr>
        <w:fldChar w:fldCharType="begin"/>
      </w:r>
      <w:r>
        <w:rPr>
          <w:rFonts w:cstheme="minorHAnsi"/>
        </w:rPr>
        <w:instrText xml:space="preserve"> TOC \h \z \t "Sans interligne;1" </w:instrText>
      </w:r>
      <w:r>
        <w:rPr>
          <w:rFonts w:cstheme="minorHAnsi"/>
        </w:rPr>
        <w:fldChar w:fldCharType="separate"/>
      </w:r>
    </w:p>
    <w:p w14:paraId="39BE8720" w14:textId="3C8E1A9A" w:rsidR="00B5382A" w:rsidRDefault="00B5382A">
      <w:pPr>
        <w:pStyle w:val="TM1"/>
        <w:rPr>
          <w:rFonts w:eastAsiaTheme="minorEastAsia"/>
          <w:noProof/>
          <w:kern w:val="2"/>
          <w:sz w:val="24"/>
          <w:szCs w:val="24"/>
          <w:lang w:eastAsia="fr-FR"/>
          <w14:ligatures w14:val="standardContextual"/>
        </w:rPr>
      </w:pPr>
      <w:hyperlink w:anchor="_Toc221439925" w:history="1">
        <w:r w:rsidRPr="00216135">
          <w:rPr>
            <w:rStyle w:val="Lienhypertexte"/>
            <w:noProof/>
          </w:rPr>
          <w:t>Annexe n°1 : Texte d’introduction du questionnaire</w:t>
        </w:r>
        <w:r>
          <w:rPr>
            <w:noProof/>
            <w:webHidden/>
          </w:rPr>
          <w:tab/>
        </w:r>
        <w:r>
          <w:rPr>
            <w:noProof/>
            <w:webHidden/>
          </w:rPr>
          <w:fldChar w:fldCharType="begin"/>
        </w:r>
        <w:r>
          <w:rPr>
            <w:noProof/>
            <w:webHidden/>
          </w:rPr>
          <w:instrText xml:space="preserve"> PAGEREF _Toc221439925 \h </w:instrText>
        </w:r>
        <w:r>
          <w:rPr>
            <w:noProof/>
            <w:webHidden/>
          </w:rPr>
        </w:r>
        <w:r>
          <w:rPr>
            <w:noProof/>
            <w:webHidden/>
          </w:rPr>
          <w:fldChar w:fldCharType="separate"/>
        </w:r>
        <w:r w:rsidR="00B93EA8">
          <w:rPr>
            <w:noProof/>
            <w:webHidden/>
          </w:rPr>
          <w:t>I</w:t>
        </w:r>
        <w:r>
          <w:rPr>
            <w:noProof/>
            <w:webHidden/>
          </w:rPr>
          <w:fldChar w:fldCharType="end"/>
        </w:r>
      </w:hyperlink>
    </w:p>
    <w:p w14:paraId="5D52ABBE" w14:textId="2616801C" w:rsidR="00B5382A" w:rsidRDefault="00B5382A">
      <w:pPr>
        <w:pStyle w:val="TM1"/>
        <w:rPr>
          <w:rFonts w:eastAsiaTheme="minorEastAsia"/>
          <w:noProof/>
          <w:kern w:val="2"/>
          <w:sz w:val="24"/>
          <w:szCs w:val="24"/>
          <w:lang w:eastAsia="fr-FR"/>
          <w14:ligatures w14:val="standardContextual"/>
        </w:rPr>
      </w:pPr>
      <w:hyperlink w:anchor="_Toc221439926" w:history="1">
        <w:r w:rsidRPr="00216135">
          <w:rPr>
            <w:rStyle w:val="Lienhypertexte"/>
            <w:noProof/>
          </w:rPr>
          <w:t>Annexe n°2 : Questionnaire</w:t>
        </w:r>
        <w:r>
          <w:rPr>
            <w:noProof/>
            <w:webHidden/>
          </w:rPr>
          <w:tab/>
        </w:r>
        <w:r>
          <w:rPr>
            <w:noProof/>
            <w:webHidden/>
          </w:rPr>
          <w:fldChar w:fldCharType="begin"/>
        </w:r>
        <w:r>
          <w:rPr>
            <w:noProof/>
            <w:webHidden/>
          </w:rPr>
          <w:instrText xml:space="preserve"> PAGEREF _Toc221439926 \h </w:instrText>
        </w:r>
        <w:r>
          <w:rPr>
            <w:noProof/>
            <w:webHidden/>
          </w:rPr>
        </w:r>
        <w:r>
          <w:rPr>
            <w:noProof/>
            <w:webHidden/>
          </w:rPr>
          <w:fldChar w:fldCharType="separate"/>
        </w:r>
        <w:r w:rsidR="00B93EA8">
          <w:rPr>
            <w:noProof/>
            <w:webHidden/>
          </w:rPr>
          <w:t>II</w:t>
        </w:r>
        <w:r>
          <w:rPr>
            <w:noProof/>
            <w:webHidden/>
          </w:rPr>
          <w:fldChar w:fldCharType="end"/>
        </w:r>
      </w:hyperlink>
    </w:p>
    <w:p w14:paraId="3065F0EE" w14:textId="5A911EBD" w:rsidR="00401753" w:rsidRPr="008D277B" w:rsidRDefault="00B5382A" w:rsidP="008D277B">
      <w:pPr>
        <w:spacing w:line="360" w:lineRule="auto"/>
        <w:jc w:val="both"/>
        <w:rPr>
          <w:rFonts w:cstheme="minorHAnsi"/>
        </w:rPr>
      </w:pPr>
      <w:r>
        <w:rPr>
          <w:rFonts w:cstheme="minorHAnsi"/>
        </w:rPr>
        <w:fldChar w:fldCharType="end"/>
      </w:r>
    </w:p>
    <w:p w14:paraId="6FEF2BEF" w14:textId="77777777" w:rsidR="00295C98" w:rsidRPr="008D277B" w:rsidRDefault="00295C98" w:rsidP="008D277B">
      <w:pPr>
        <w:spacing w:line="360" w:lineRule="auto"/>
        <w:jc w:val="both"/>
        <w:rPr>
          <w:rFonts w:cstheme="minorHAnsi"/>
        </w:rPr>
      </w:pPr>
    </w:p>
    <w:p w14:paraId="7373227F" w14:textId="68F85A46" w:rsidR="00FA419F" w:rsidRDefault="00295C98" w:rsidP="00B5382A">
      <w:pPr>
        <w:spacing w:line="360" w:lineRule="auto"/>
        <w:jc w:val="both"/>
        <w:rPr>
          <w:rFonts w:cstheme="minorHAnsi"/>
        </w:rPr>
      </w:pPr>
      <w:r w:rsidRPr="008D277B">
        <w:rPr>
          <w:rFonts w:cstheme="minorHAnsi"/>
        </w:rPr>
        <w:tab/>
      </w:r>
    </w:p>
    <w:p w14:paraId="5A47900C" w14:textId="77777777" w:rsidR="00B5382A" w:rsidRDefault="00B5382A" w:rsidP="00B5382A">
      <w:pPr>
        <w:spacing w:line="360" w:lineRule="auto"/>
        <w:jc w:val="both"/>
        <w:rPr>
          <w:rFonts w:cstheme="minorHAnsi"/>
        </w:rPr>
      </w:pPr>
    </w:p>
    <w:p w14:paraId="47D7C2AB" w14:textId="77777777" w:rsidR="00B5382A" w:rsidRDefault="00B5382A" w:rsidP="00B5382A">
      <w:pPr>
        <w:spacing w:line="360" w:lineRule="auto"/>
        <w:jc w:val="both"/>
        <w:rPr>
          <w:rFonts w:cstheme="minorHAnsi"/>
        </w:rPr>
      </w:pPr>
    </w:p>
    <w:p w14:paraId="1DDFE042" w14:textId="77777777" w:rsidR="00B5382A" w:rsidRDefault="00B5382A" w:rsidP="00B5382A">
      <w:pPr>
        <w:spacing w:line="360" w:lineRule="auto"/>
        <w:jc w:val="both"/>
        <w:rPr>
          <w:rFonts w:cstheme="minorHAnsi"/>
        </w:rPr>
      </w:pPr>
    </w:p>
    <w:p w14:paraId="2C9E6F63" w14:textId="77777777" w:rsidR="00B5382A" w:rsidRDefault="00B5382A" w:rsidP="00B5382A">
      <w:pPr>
        <w:spacing w:line="360" w:lineRule="auto"/>
        <w:jc w:val="both"/>
        <w:rPr>
          <w:rFonts w:cstheme="minorHAnsi"/>
        </w:rPr>
      </w:pPr>
    </w:p>
    <w:p w14:paraId="60E2D223" w14:textId="77777777" w:rsidR="00B5382A" w:rsidRDefault="00B5382A" w:rsidP="00B5382A">
      <w:pPr>
        <w:spacing w:line="360" w:lineRule="auto"/>
        <w:jc w:val="both"/>
        <w:rPr>
          <w:rFonts w:cstheme="minorHAnsi"/>
        </w:rPr>
      </w:pPr>
    </w:p>
    <w:p w14:paraId="5745BDA9" w14:textId="77777777" w:rsidR="00B5382A" w:rsidRDefault="00B5382A" w:rsidP="00B5382A">
      <w:pPr>
        <w:spacing w:line="360" w:lineRule="auto"/>
        <w:jc w:val="both"/>
        <w:rPr>
          <w:rFonts w:cstheme="minorHAnsi"/>
        </w:rPr>
      </w:pPr>
    </w:p>
    <w:p w14:paraId="28374A1C" w14:textId="77777777" w:rsidR="00B5382A" w:rsidRDefault="00B5382A" w:rsidP="00B5382A">
      <w:pPr>
        <w:spacing w:line="360" w:lineRule="auto"/>
        <w:jc w:val="both"/>
        <w:rPr>
          <w:rFonts w:cstheme="minorHAnsi"/>
        </w:rPr>
      </w:pPr>
    </w:p>
    <w:p w14:paraId="0E71700C" w14:textId="77777777" w:rsidR="00B5382A" w:rsidRDefault="00B5382A" w:rsidP="00B5382A">
      <w:pPr>
        <w:spacing w:line="360" w:lineRule="auto"/>
        <w:jc w:val="both"/>
        <w:rPr>
          <w:rFonts w:cstheme="minorHAnsi"/>
        </w:rPr>
      </w:pPr>
    </w:p>
    <w:p w14:paraId="3E76261F" w14:textId="77777777" w:rsidR="00B5382A" w:rsidRDefault="00B5382A" w:rsidP="00B5382A">
      <w:pPr>
        <w:spacing w:line="360" w:lineRule="auto"/>
        <w:jc w:val="both"/>
        <w:rPr>
          <w:rFonts w:cstheme="minorHAnsi"/>
        </w:rPr>
      </w:pPr>
    </w:p>
    <w:p w14:paraId="24F2D455" w14:textId="77777777" w:rsidR="00B5382A" w:rsidRDefault="00B5382A" w:rsidP="00B5382A">
      <w:pPr>
        <w:spacing w:line="360" w:lineRule="auto"/>
        <w:jc w:val="both"/>
        <w:rPr>
          <w:rFonts w:cstheme="minorHAnsi"/>
        </w:rPr>
      </w:pPr>
    </w:p>
    <w:p w14:paraId="2F865456" w14:textId="77777777" w:rsidR="00B5382A" w:rsidRDefault="00B5382A" w:rsidP="00B5382A">
      <w:pPr>
        <w:spacing w:line="360" w:lineRule="auto"/>
        <w:jc w:val="both"/>
        <w:rPr>
          <w:rFonts w:cstheme="minorHAnsi"/>
        </w:rPr>
      </w:pPr>
    </w:p>
    <w:p w14:paraId="6A224045" w14:textId="77777777" w:rsidR="00B5382A" w:rsidRDefault="00B5382A" w:rsidP="00B5382A">
      <w:pPr>
        <w:spacing w:line="360" w:lineRule="auto"/>
        <w:jc w:val="both"/>
        <w:rPr>
          <w:rFonts w:cstheme="minorHAnsi"/>
        </w:rPr>
      </w:pPr>
    </w:p>
    <w:p w14:paraId="44D16412" w14:textId="77777777" w:rsidR="00B5382A" w:rsidRDefault="00B5382A" w:rsidP="00B5382A">
      <w:pPr>
        <w:spacing w:line="360" w:lineRule="auto"/>
        <w:jc w:val="both"/>
        <w:rPr>
          <w:rFonts w:cstheme="minorHAnsi"/>
        </w:rPr>
      </w:pPr>
    </w:p>
    <w:p w14:paraId="78DEC541" w14:textId="77777777" w:rsidR="00B5382A" w:rsidRDefault="00B5382A" w:rsidP="00B5382A">
      <w:pPr>
        <w:spacing w:line="360" w:lineRule="auto"/>
        <w:jc w:val="both"/>
        <w:rPr>
          <w:rFonts w:cstheme="minorHAnsi"/>
        </w:rPr>
      </w:pPr>
    </w:p>
    <w:p w14:paraId="296F555A" w14:textId="77777777" w:rsidR="00B5382A" w:rsidRDefault="00B5382A" w:rsidP="00B5382A">
      <w:pPr>
        <w:spacing w:line="360" w:lineRule="auto"/>
        <w:jc w:val="both"/>
        <w:rPr>
          <w:rFonts w:cstheme="minorHAnsi"/>
        </w:rPr>
      </w:pPr>
    </w:p>
    <w:p w14:paraId="7CCA6C2D" w14:textId="77777777" w:rsidR="00B5382A" w:rsidRDefault="00B5382A" w:rsidP="00B5382A">
      <w:pPr>
        <w:spacing w:line="360" w:lineRule="auto"/>
        <w:jc w:val="both"/>
        <w:rPr>
          <w:rFonts w:cstheme="minorHAnsi"/>
        </w:rPr>
      </w:pPr>
    </w:p>
    <w:p w14:paraId="61D351E2" w14:textId="77777777" w:rsidR="00B5382A" w:rsidRDefault="00B5382A" w:rsidP="00B5382A">
      <w:pPr>
        <w:spacing w:line="360" w:lineRule="auto"/>
        <w:jc w:val="both"/>
        <w:rPr>
          <w:rFonts w:cstheme="minorHAnsi"/>
        </w:rPr>
      </w:pPr>
    </w:p>
    <w:p w14:paraId="2C303608" w14:textId="77777777" w:rsidR="00B5382A" w:rsidRDefault="00B5382A" w:rsidP="00B5382A">
      <w:pPr>
        <w:spacing w:line="360" w:lineRule="auto"/>
        <w:jc w:val="both"/>
        <w:rPr>
          <w:rFonts w:cstheme="minorHAnsi"/>
        </w:rPr>
      </w:pPr>
    </w:p>
    <w:p w14:paraId="18F247FF" w14:textId="77777777" w:rsidR="00B5382A" w:rsidRDefault="00B5382A" w:rsidP="00B5382A">
      <w:pPr>
        <w:spacing w:line="360" w:lineRule="auto"/>
        <w:jc w:val="both"/>
        <w:rPr>
          <w:rFonts w:cstheme="minorHAnsi"/>
        </w:rPr>
      </w:pPr>
    </w:p>
    <w:p w14:paraId="7A42ECED" w14:textId="77777777" w:rsidR="00B5382A" w:rsidRDefault="00B5382A" w:rsidP="00B5382A">
      <w:pPr>
        <w:spacing w:line="360" w:lineRule="auto"/>
        <w:jc w:val="both"/>
        <w:rPr>
          <w:rFonts w:cstheme="minorHAnsi"/>
        </w:rPr>
        <w:sectPr w:rsidR="00B5382A" w:rsidSect="004C1EAA">
          <w:headerReference w:type="default" r:id="rId34"/>
          <w:footerReference w:type="default" r:id="rId35"/>
          <w:pgSz w:w="11906" w:h="16838"/>
          <w:pgMar w:top="1418" w:right="1418" w:bottom="1418" w:left="1418" w:header="709" w:footer="709" w:gutter="0"/>
          <w:pgNumType w:start="1"/>
          <w:cols w:space="708"/>
          <w:docGrid w:linePitch="360"/>
        </w:sectPr>
      </w:pPr>
    </w:p>
    <w:p w14:paraId="4CA14E23" w14:textId="77777777" w:rsidR="00B5382A" w:rsidRDefault="00B5382A" w:rsidP="00B5382A">
      <w:pPr>
        <w:spacing w:line="360" w:lineRule="auto"/>
        <w:jc w:val="both"/>
        <w:rPr>
          <w:rFonts w:cstheme="minorHAnsi"/>
        </w:rPr>
      </w:pPr>
    </w:p>
    <w:p w14:paraId="3B1BCD64" w14:textId="4962ABD8" w:rsidR="00FA419F" w:rsidRDefault="00B5382A" w:rsidP="00B5382A">
      <w:pPr>
        <w:pStyle w:val="Sansinterligne"/>
      </w:pPr>
      <w:bookmarkStart w:id="103" w:name="_Toc221439925"/>
      <w:r>
        <w:t>Annexe n°1 : Texte d’introduction du questionnaire</w:t>
      </w:r>
      <w:bookmarkEnd w:id="103"/>
      <w:r>
        <w:t xml:space="preserve"> </w:t>
      </w:r>
    </w:p>
    <w:p w14:paraId="0F49EC89" w14:textId="22FF66E9" w:rsidR="00E63D77" w:rsidRDefault="00E63D77" w:rsidP="00E63D77">
      <w:pPr>
        <w:shd w:val="clear" w:color="auto" w:fill="FFFFFF"/>
        <w:spacing w:line="360" w:lineRule="auto"/>
        <w:jc w:val="both"/>
        <w:rPr>
          <w:rFonts w:eastAsia="Times New Roman" w:cstheme="minorHAnsi"/>
          <w:b/>
          <w:bCs/>
          <w:color w:val="000000"/>
          <w:sz w:val="21"/>
          <w:szCs w:val="21"/>
          <w:lang w:eastAsia="fr-FR"/>
        </w:rPr>
      </w:pPr>
      <w:r w:rsidRPr="00C0572E">
        <w:rPr>
          <w:rFonts w:cstheme="minorHAnsi"/>
        </w:rPr>
        <w:t>« </w:t>
      </w:r>
      <w:r w:rsidRPr="002C477A">
        <w:rPr>
          <w:rFonts w:eastAsia="Times New Roman" w:cstheme="minorHAnsi"/>
          <w:b/>
          <w:bCs/>
          <w:color w:val="000000"/>
          <w:sz w:val="21"/>
          <w:szCs w:val="21"/>
          <w:lang w:eastAsia="fr-FR"/>
        </w:rPr>
        <w:t>Étude sur l'Évaluation Clinique du contrôle postural des</w:t>
      </w:r>
      <w:r w:rsidRPr="002C477A">
        <w:rPr>
          <w:rFonts w:eastAsia="Times New Roman" w:cstheme="minorHAnsi"/>
          <w:color w:val="000000"/>
          <w:sz w:val="21"/>
          <w:szCs w:val="21"/>
          <w:lang w:eastAsia="fr-FR"/>
        </w:rPr>
        <w:t> </w:t>
      </w:r>
      <w:r w:rsidRPr="002C477A">
        <w:rPr>
          <w:rFonts w:eastAsia="Times New Roman" w:cstheme="minorHAnsi"/>
          <w:b/>
          <w:bCs/>
          <w:color w:val="000000"/>
          <w:sz w:val="21"/>
          <w:szCs w:val="21"/>
          <w:lang w:eastAsia="fr-FR"/>
        </w:rPr>
        <w:t>personnes âgées de 60 ans et plus par les kinésithérapeutes français.</w:t>
      </w:r>
    </w:p>
    <w:p w14:paraId="22040064" w14:textId="77777777" w:rsidR="00E63D77" w:rsidRDefault="00E63D77" w:rsidP="00E63D77">
      <w:pPr>
        <w:shd w:val="clear" w:color="auto" w:fill="FFFFFF"/>
        <w:spacing w:line="360" w:lineRule="auto"/>
        <w:rPr>
          <w:rFonts w:eastAsia="Times New Roman" w:cstheme="minorHAnsi"/>
          <w:b/>
          <w:bCs/>
          <w:color w:val="000000"/>
          <w:sz w:val="21"/>
          <w:szCs w:val="21"/>
          <w:shd w:val="clear" w:color="auto" w:fill="FFFFFF"/>
          <w:lang w:eastAsia="fr-FR"/>
        </w:rPr>
      </w:pPr>
      <w:r w:rsidRPr="002C477A">
        <w:rPr>
          <w:rFonts w:eastAsia="Times New Roman" w:cstheme="minorHAnsi"/>
          <w:color w:val="000000"/>
          <w:sz w:val="21"/>
          <w:szCs w:val="21"/>
          <w:lang w:eastAsia="fr-FR"/>
        </w:rPr>
        <w:br/>
      </w:r>
      <w:r w:rsidRPr="002C477A">
        <w:rPr>
          <w:rFonts w:eastAsia="Times New Roman" w:cstheme="minorHAnsi"/>
          <w:color w:val="000000"/>
          <w:sz w:val="21"/>
          <w:szCs w:val="21"/>
          <w:shd w:val="clear" w:color="auto" w:fill="FFFFFF"/>
          <w:lang w:eastAsia="fr-FR"/>
        </w:rPr>
        <w:t>Cher(e)</w:t>
      </w:r>
      <w:r>
        <w:rPr>
          <w:rFonts w:eastAsia="Times New Roman" w:cstheme="minorHAnsi"/>
          <w:color w:val="000000"/>
          <w:sz w:val="21"/>
          <w:szCs w:val="21"/>
          <w:shd w:val="clear" w:color="auto" w:fill="FFFFFF"/>
          <w:lang w:eastAsia="fr-FR"/>
        </w:rPr>
        <w:t xml:space="preserve"> </w:t>
      </w:r>
      <w:r w:rsidRPr="002C477A">
        <w:rPr>
          <w:rFonts w:eastAsia="Times New Roman" w:cstheme="minorHAnsi"/>
          <w:color w:val="000000"/>
          <w:sz w:val="21"/>
          <w:szCs w:val="21"/>
          <w:shd w:val="clear" w:color="auto" w:fill="FFFFFF"/>
          <w:lang w:eastAsia="fr-FR"/>
        </w:rPr>
        <w:t>kinésithérapeute,</w:t>
      </w:r>
      <w:r w:rsidRPr="002C477A">
        <w:rPr>
          <w:rFonts w:eastAsia="Times New Roman" w:cstheme="minorHAnsi"/>
          <w:color w:val="000000"/>
          <w:sz w:val="21"/>
          <w:szCs w:val="21"/>
          <w:lang w:eastAsia="fr-FR"/>
        </w:rPr>
        <w:br/>
      </w:r>
      <w:r w:rsidRPr="002C477A">
        <w:rPr>
          <w:rFonts w:eastAsia="Times New Roman" w:cstheme="minorHAnsi"/>
          <w:color w:val="000000"/>
          <w:sz w:val="21"/>
          <w:szCs w:val="21"/>
          <w:lang w:eastAsia="fr-FR"/>
        </w:rPr>
        <w:br/>
      </w:r>
      <w:r w:rsidRPr="002C477A">
        <w:rPr>
          <w:rFonts w:eastAsia="Times New Roman" w:cstheme="minorHAnsi"/>
          <w:color w:val="000000"/>
          <w:sz w:val="21"/>
          <w:szCs w:val="21"/>
          <w:shd w:val="clear" w:color="auto" w:fill="FFFFFF"/>
          <w:lang w:eastAsia="fr-FR"/>
        </w:rPr>
        <w:t>Le vieillissement de la population française pose un défi majeur pour nos systèmes de santé</w:t>
      </w:r>
      <w:r>
        <w:rPr>
          <w:rFonts w:eastAsia="Times New Roman" w:cstheme="minorHAnsi"/>
          <w:color w:val="000000"/>
          <w:sz w:val="21"/>
          <w:szCs w:val="21"/>
          <w:shd w:val="clear" w:color="auto" w:fill="FFFFFF"/>
          <w:lang w:eastAsia="fr-FR"/>
        </w:rPr>
        <w:t xml:space="preserve"> </w:t>
      </w:r>
      <w:r>
        <w:rPr>
          <w:rFonts w:eastAsia="Times New Roman" w:cstheme="minorHAnsi"/>
          <w:color w:val="000000"/>
          <w:sz w:val="21"/>
          <w:szCs w:val="21"/>
          <w:shd w:val="clear" w:color="auto" w:fill="FFFFFF"/>
          <w:lang w:eastAsia="fr-FR"/>
        </w:rPr>
        <w:fldChar w:fldCharType="begin"/>
      </w:r>
      <w:r>
        <w:rPr>
          <w:rFonts w:eastAsia="Times New Roman" w:cstheme="minorHAnsi"/>
          <w:color w:val="000000"/>
          <w:sz w:val="21"/>
          <w:szCs w:val="21"/>
          <w:shd w:val="clear" w:color="auto" w:fill="FFFFFF"/>
          <w:lang w:eastAsia="fr-FR"/>
        </w:rPr>
        <w:instrText xml:space="preserve"> ADDIN ZOTERO_ITEM CSL_CITATION {"citationID":"42s5ZBer","properties":{"formattedCitation":"(Coste et al., 2022)","plainCitation":"(Coste et al., 2022)","noteIndex":0},"citationItems":[{"id":227,"uris":["http://zotero.org/users/10583480/items/D6QSMM9P"],"itemData":{"id":227,"type":"article-journal","abstract":"Background\nRobust public health and health system response to the increasing burden of multimorbidity worldwide requires detailed epidemiological examination of its key sociodemographic and geographic determinants. We investigated the role of gender, age and socioeconomic and geographic factors on multimorbidity (i.e., having two or more conditions) in the adult population in France and examined implications for surveillance and prevention.\n\nMethods\nWe used data from two large nationwide representative surveys with cross-sectional and longitudinal health and socio-demographic indicators, conducted in France between 2008 and 2014. Morbidity counts and frequent dyads/triads of conditions independently impacting mortality, activity limitations, and perceived health were investigated with regard to differences in gender, age, socioeconomic (education, occupation and income) and geography (size of the urban unit and region).\n\nResults\nThe component conditions of multimorbidity varied with gender and age. Women experienced multimorbidity 23–31% more frequently and at a younger age (5–15 years earlier) than men. Multimorbidity increased with age while its associations with most health indicators weakened with it. Multimorbidity was strongly and independently associated with socioeconomic indicators, with a strong inverse dose-response relationship with education, but less consistently with geographic factors.\n\nConclusions\nMultimorbidity has diverse and variable components and impacts across gender and age. It is strongly associated with socioeconomic factors, notably educational level, for which causality appears likely. Consideration of this diversity and variability, its common occurrence in dyads and triads, and its impact on health outcomes according to age and gender may contribute to efficient surveillance and support the identification of prevention strategies targeting middle-aged men and women.","container-title":"PLoS ONE","DOI":"10.1371/journal.pone.0265842","ISSN":"1932-6203","issue":"4","journalAbbreviation":"PLoS One","note":"PMID: 35385501\nPMCID: PMC8986023","page":"e0265842","source":"PubMed Central","title":"The epidemiology of multimorbidity in France: Variations by gender, age and socioeconomic factors, and implications for surveillance and prevention","title-short":"The epidemiology of multimorbidity in France","volume":"17","author":[{"family":"Coste","given":"Joël"},{"family":"Valderas","given":"José M."},{"family":"Carcaillon-Bentata","given":"Laure"}],"issued":{"date-parts":[["2022",4,6]]}}}],"schema":"https://github.com/citation-style-language/schema/raw/master/csl-citation.json"} </w:instrText>
      </w:r>
      <w:r>
        <w:rPr>
          <w:rFonts w:eastAsia="Times New Roman" w:cstheme="minorHAnsi"/>
          <w:color w:val="000000"/>
          <w:sz w:val="21"/>
          <w:szCs w:val="21"/>
          <w:shd w:val="clear" w:color="auto" w:fill="FFFFFF"/>
          <w:lang w:eastAsia="fr-FR"/>
        </w:rPr>
        <w:fldChar w:fldCharType="separate"/>
      </w:r>
      <w:r>
        <w:rPr>
          <w:rFonts w:eastAsia="Times New Roman" w:cstheme="minorHAnsi"/>
          <w:noProof/>
          <w:color w:val="000000"/>
          <w:sz w:val="21"/>
          <w:szCs w:val="21"/>
          <w:shd w:val="clear" w:color="auto" w:fill="FFFFFF"/>
          <w:lang w:eastAsia="fr-FR"/>
        </w:rPr>
        <w:t>(Coste et al., 2022)</w:t>
      </w:r>
      <w:r>
        <w:rPr>
          <w:rFonts w:eastAsia="Times New Roman" w:cstheme="minorHAnsi"/>
          <w:color w:val="000000"/>
          <w:sz w:val="21"/>
          <w:szCs w:val="21"/>
          <w:shd w:val="clear" w:color="auto" w:fill="FFFFFF"/>
          <w:lang w:eastAsia="fr-FR"/>
        </w:rPr>
        <w:fldChar w:fldCharType="end"/>
      </w:r>
      <w:r w:rsidRPr="002C477A">
        <w:rPr>
          <w:rFonts w:eastAsia="Times New Roman" w:cstheme="minorHAnsi"/>
          <w:color w:val="000000"/>
          <w:sz w:val="21"/>
          <w:szCs w:val="21"/>
          <w:shd w:val="clear" w:color="auto" w:fill="FFFFFF"/>
          <w:lang w:eastAsia="fr-FR"/>
        </w:rPr>
        <w:t>.</w:t>
      </w:r>
      <w:r w:rsidRPr="002C477A">
        <w:rPr>
          <w:rFonts w:eastAsia="Times New Roman" w:cstheme="minorHAnsi"/>
          <w:b/>
          <w:bCs/>
          <w:color w:val="000000"/>
          <w:sz w:val="21"/>
          <w:szCs w:val="21"/>
          <w:shd w:val="clear" w:color="auto" w:fill="FFFFFF"/>
          <w:lang w:eastAsia="fr-FR"/>
        </w:rPr>
        <w:t> </w:t>
      </w:r>
    </w:p>
    <w:p w14:paraId="0E8FC4CA" w14:textId="77777777" w:rsidR="00E63D77" w:rsidRDefault="00E63D77" w:rsidP="00E63D77">
      <w:pPr>
        <w:shd w:val="clear" w:color="auto" w:fill="FFFFFF"/>
        <w:spacing w:line="360" w:lineRule="auto"/>
        <w:rPr>
          <w:rFonts w:eastAsia="Times New Roman" w:cstheme="minorHAnsi"/>
          <w:color w:val="000000"/>
          <w:sz w:val="21"/>
          <w:szCs w:val="21"/>
          <w:shd w:val="clear" w:color="auto" w:fill="FFFFFF"/>
          <w:lang w:eastAsia="fr-FR"/>
        </w:rPr>
      </w:pPr>
      <w:r w:rsidRPr="002C477A">
        <w:rPr>
          <w:rFonts w:eastAsia="Times New Roman" w:cstheme="minorHAnsi"/>
          <w:b/>
          <w:bCs/>
          <w:color w:val="000000"/>
          <w:sz w:val="21"/>
          <w:szCs w:val="21"/>
          <w:shd w:val="clear" w:color="auto" w:fill="FFFFFF"/>
          <w:lang w:eastAsia="fr-FR"/>
        </w:rPr>
        <w:br/>
      </w:r>
      <w:r w:rsidRPr="002C477A">
        <w:rPr>
          <w:rFonts w:eastAsia="Times New Roman" w:cstheme="minorHAnsi"/>
          <w:color w:val="000000"/>
          <w:sz w:val="21"/>
          <w:szCs w:val="21"/>
          <w:shd w:val="clear" w:color="auto" w:fill="FFFFFF"/>
          <w:lang w:eastAsia="fr-FR"/>
        </w:rPr>
        <w:t>Les changements liés à l'âge affectent le contrôle postural en augmentant le risque de chute chez les personnes âgées de 60 ans et plus</w:t>
      </w:r>
      <w:r>
        <w:rPr>
          <w:rFonts w:eastAsia="Times New Roman" w:cstheme="minorHAnsi"/>
          <w:color w:val="000000"/>
          <w:sz w:val="21"/>
          <w:szCs w:val="21"/>
          <w:shd w:val="clear" w:color="auto" w:fill="FFFFFF"/>
          <w:lang w:eastAsia="fr-FR"/>
        </w:rPr>
        <w:t xml:space="preserve"> </w:t>
      </w:r>
      <w:r>
        <w:rPr>
          <w:rFonts w:eastAsia="Times New Roman" w:cstheme="minorHAnsi"/>
          <w:color w:val="000000"/>
          <w:sz w:val="21"/>
          <w:szCs w:val="21"/>
          <w:shd w:val="clear" w:color="auto" w:fill="FFFFFF"/>
          <w:lang w:eastAsia="fr-FR"/>
        </w:rPr>
        <w:fldChar w:fldCharType="begin"/>
      </w:r>
      <w:r>
        <w:rPr>
          <w:rFonts w:eastAsia="Times New Roman" w:cstheme="minorHAnsi"/>
          <w:color w:val="000000"/>
          <w:sz w:val="21"/>
          <w:szCs w:val="21"/>
          <w:shd w:val="clear" w:color="auto" w:fill="FFFFFF"/>
          <w:lang w:eastAsia="fr-FR"/>
        </w:rPr>
        <w:instrText xml:space="preserve"> ADDIN ZOTERO_ITEM CSL_CITATION {"citationID":"vHfCOtgE","properties":{"formattedCitation":"(Gaspar &amp; Lap\\uc0\\u227{}o, 2021)","plainCitation":"(Gaspar &amp; Lapão, 2021)","noteIndex":0},"citationItems":[{"id":544,"uris":["http://zotero.org/users/10583480/items/M5UFDUUE"],"itemData":{"id":544,"type":"article-journal","abstract":"BACKGROUND: The population is aging on a global scale, triggering vulnerability for chronic multimorbidity, balance disorders, and falls. Falls with injuries are the main cause of accidental death in the elderly population, representing a relevant public health problem. Balance disorder is a major risk factor for falling and represents one of the most frequent reasons for health care demand. The use of information and communication technologies to support distance healthcare (eHealth) represents an opportunity to improve the access and quality of health care services for the elderly. In recent years, several studies have addressed the potential of eHealth devices to assess the balance and risk of falling of elderly people. Remote rehabilitation has also been explored. However, the clinical applicability of these digital solutions for elderly people with balance disorders remains to be studied.\nOBJECTIVE: The aim of this review was to guide the clinical applicability of eHealth devices in providing the screening, assessment, and treatment of elderly people with balance disorders, but without neurological disease.\nMETHODS: A systematic review was performed in accordance with the PRISMA (Preferred Reporting Items for Systematic Reviews and Meta-Analysis) statement. Data were obtained through searching the PubMed, Google Scholar, Embase, and SciELO databases. Only randomized controlled trials (RCTs) or quasiexperimental studies (QESs) published between January 2015 and December 2019 were included. The quality of the evidence to respond to the research question was assessed using Joanna Briggs Institute (JBI) Critical Appraisal for RCTs and the JBI Critical Appraisal Checklist for QESs. RCTs were assessed using the Cochrane risk of bias tool. We provide a narrative synthesis of the main outcomes from the included studies.\nRESULTS: Among 1030 unduplicated articles retrieved, 21 articles were included in this review. Twelve studies explored different technology devices to obtain data about balance and risk of falling. Nine studies focused on different types of balance exercise training. A wide range of clinical tests, functional scales, classifications of faller participants, sensor-based tasks, intervention protocols, and follow-up times were used. Only one study described the clinical conditions of the participants. Instrumental tests of the inner ear were neither used as the gold-standard test nor performed in pre and postrehabilitation assessments.\nCONCLUSIONS: eHealth has potential for providing additional health care to elderly people with balance disorder and risk of falling. In the included literature, the heterogeneity of populations under study, methodologies, eHealth devices, and time of follow-up did not allow for clear comparison to guide proper clinical applicability. This suggests that more rigorous studies are needed.","container-title":"Journal of Medical Internet Research","DOI":"10.2196/22215","ISSN":"1438-8871","issue":"4","journalAbbreviation":"J Med Internet Res","language":"eng","note":"PMID: 33908890\nPMCID: PMC8116987","page":"e22215","source":"PubMed","title":"eHealth for Addressing Balance Disorders in the Elderly: Systematic Review","title-short":"eHealth for Addressing Balance Disorders in the Elderly","volume":"23","author":[{"family":"Gaspar","given":"Andréa G. Martins"},{"family":"Lapão","given":"Luís Velez"}],"issued":{"date-parts":[["2021",4,28]]}}}],"schema":"https://github.com/citation-style-language/schema/raw/master/csl-citation.json"} </w:instrText>
      </w:r>
      <w:r>
        <w:rPr>
          <w:rFonts w:eastAsia="Times New Roman" w:cstheme="minorHAnsi"/>
          <w:color w:val="000000"/>
          <w:sz w:val="21"/>
          <w:szCs w:val="21"/>
          <w:shd w:val="clear" w:color="auto" w:fill="FFFFFF"/>
          <w:lang w:eastAsia="fr-FR"/>
        </w:rPr>
        <w:fldChar w:fldCharType="separate"/>
      </w:r>
      <w:r w:rsidRPr="009F0245">
        <w:rPr>
          <w:rFonts w:ascii="Calibri" w:cs="Calibri"/>
          <w:color w:val="000000"/>
          <w:sz w:val="21"/>
          <w:szCs w:val="24"/>
        </w:rPr>
        <w:t xml:space="preserve">(Gaspar &amp; </w:t>
      </w:r>
      <w:proofErr w:type="spellStart"/>
      <w:r w:rsidRPr="009F0245">
        <w:rPr>
          <w:rFonts w:ascii="Calibri" w:cs="Calibri"/>
          <w:color w:val="000000"/>
          <w:sz w:val="21"/>
          <w:szCs w:val="24"/>
        </w:rPr>
        <w:t>Lapão</w:t>
      </w:r>
      <w:proofErr w:type="spellEnd"/>
      <w:r w:rsidRPr="009F0245">
        <w:rPr>
          <w:rFonts w:ascii="Calibri" w:cs="Calibri"/>
          <w:color w:val="000000"/>
          <w:sz w:val="21"/>
          <w:szCs w:val="24"/>
        </w:rPr>
        <w:t>, 2021)</w:t>
      </w:r>
      <w:r>
        <w:rPr>
          <w:rFonts w:eastAsia="Times New Roman" w:cstheme="minorHAnsi"/>
          <w:color w:val="000000"/>
          <w:sz w:val="21"/>
          <w:szCs w:val="21"/>
          <w:shd w:val="clear" w:color="auto" w:fill="FFFFFF"/>
          <w:lang w:eastAsia="fr-FR"/>
        </w:rPr>
        <w:fldChar w:fldCharType="end"/>
      </w:r>
      <w:r w:rsidRPr="002C477A">
        <w:rPr>
          <w:rFonts w:eastAsia="Times New Roman" w:cstheme="minorHAnsi"/>
          <w:color w:val="000000"/>
          <w:sz w:val="21"/>
          <w:szCs w:val="21"/>
          <w:shd w:val="clear" w:color="auto" w:fill="FFFFFF"/>
          <w:lang w:eastAsia="fr-FR"/>
        </w:rPr>
        <w:t>, il devient crucial de l'analyser. </w:t>
      </w:r>
      <w:r w:rsidRPr="002C477A">
        <w:rPr>
          <w:rFonts w:eastAsia="Times New Roman" w:cstheme="minorHAnsi"/>
          <w:b/>
          <w:bCs/>
          <w:color w:val="000000"/>
          <w:sz w:val="21"/>
          <w:szCs w:val="21"/>
          <w:shd w:val="clear" w:color="auto" w:fill="FFFFFF"/>
          <w:lang w:eastAsia="fr-FR"/>
        </w:rPr>
        <w:t>Le contrôle postural</w:t>
      </w:r>
      <w:r>
        <w:rPr>
          <w:rFonts w:eastAsia="Times New Roman" w:cstheme="minorHAnsi"/>
          <w:b/>
          <w:bCs/>
          <w:color w:val="000000"/>
          <w:sz w:val="21"/>
          <w:szCs w:val="21"/>
          <w:shd w:val="clear" w:color="auto" w:fill="FFFFFF"/>
          <w:lang w:eastAsia="fr-FR"/>
        </w:rPr>
        <w:t xml:space="preserve"> </w:t>
      </w:r>
      <w:r w:rsidRPr="002C477A">
        <w:rPr>
          <w:rFonts w:eastAsia="Times New Roman" w:cstheme="minorHAnsi"/>
          <w:color w:val="000000"/>
          <w:sz w:val="21"/>
          <w:szCs w:val="21"/>
          <w:shd w:val="clear" w:color="auto" w:fill="FFFFFF"/>
          <w:lang w:eastAsia="fr-FR"/>
        </w:rPr>
        <w:t xml:space="preserve">est défini par </w:t>
      </w:r>
      <w:proofErr w:type="spellStart"/>
      <w:r w:rsidRPr="002C477A">
        <w:rPr>
          <w:rFonts w:eastAsia="Times New Roman" w:cstheme="minorHAnsi"/>
          <w:color w:val="000000"/>
          <w:sz w:val="21"/>
          <w:szCs w:val="21"/>
          <w:shd w:val="clear" w:color="auto" w:fill="FFFFFF"/>
          <w:lang w:eastAsia="fr-FR"/>
        </w:rPr>
        <w:t>Horak</w:t>
      </w:r>
      <w:proofErr w:type="spellEnd"/>
      <w:r w:rsidRPr="002C477A">
        <w:rPr>
          <w:rFonts w:eastAsia="Times New Roman" w:cstheme="minorHAnsi"/>
          <w:color w:val="000000"/>
          <w:sz w:val="21"/>
          <w:szCs w:val="21"/>
          <w:shd w:val="clear" w:color="auto" w:fill="FFFFFF"/>
          <w:lang w:eastAsia="fr-FR"/>
        </w:rPr>
        <w:t xml:space="preserve"> (2006) comme étant "</w:t>
      </w:r>
      <w:r w:rsidRPr="002C477A">
        <w:rPr>
          <w:rFonts w:eastAsia="Times New Roman" w:cstheme="minorHAnsi"/>
          <w:b/>
          <w:bCs/>
          <w:color w:val="000000"/>
          <w:sz w:val="21"/>
          <w:szCs w:val="21"/>
          <w:shd w:val="clear" w:color="auto" w:fill="FFFFFF"/>
          <w:lang w:eastAsia="fr-FR"/>
        </w:rPr>
        <w:t>l'acte de maintenir, d'atteindre ou de restaurer un état</w:t>
      </w:r>
      <w:r>
        <w:rPr>
          <w:rFonts w:eastAsia="Times New Roman" w:cstheme="minorHAnsi"/>
          <w:b/>
          <w:bCs/>
          <w:color w:val="000000"/>
          <w:sz w:val="21"/>
          <w:szCs w:val="21"/>
          <w:shd w:val="clear" w:color="auto" w:fill="FFFFFF"/>
          <w:lang w:eastAsia="fr-FR"/>
        </w:rPr>
        <w:t xml:space="preserve"> </w:t>
      </w:r>
      <w:r w:rsidRPr="002C477A">
        <w:rPr>
          <w:rFonts w:eastAsia="Times New Roman" w:cstheme="minorHAnsi"/>
          <w:b/>
          <w:bCs/>
          <w:color w:val="000000"/>
          <w:sz w:val="21"/>
          <w:szCs w:val="21"/>
          <w:shd w:val="clear" w:color="auto" w:fill="FFFFFF"/>
          <w:lang w:eastAsia="fr-FR"/>
        </w:rPr>
        <w:t>d'équilibre</w:t>
      </w:r>
      <w:r>
        <w:rPr>
          <w:rFonts w:eastAsia="Times New Roman" w:cstheme="minorHAnsi"/>
          <w:b/>
          <w:bCs/>
          <w:color w:val="000000"/>
          <w:sz w:val="21"/>
          <w:szCs w:val="21"/>
          <w:shd w:val="clear" w:color="auto" w:fill="FFFFFF"/>
          <w:lang w:eastAsia="fr-FR"/>
        </w:rPr>
        <w:t xml:space="preserve"> </w:t>
      </w:r>
      <w:r w:rsidRPr="002C477A">
        <w:rPr>
          <w:rFonts w:eastAsia="Times New Roman" w:cstheme="minorHAnsi"/>
          <w:b/>
          <w:bCs/>
          <w:color w:val="000000"/>
          <w:sz w:val="21"/>
          <w:szCs w:val="21"/>
          <w:shd w:val="clear" w:color="auto" w:fill="FFFFFF"/>
          <w:lang w:eastAsia="fr-FR"/>
        </w:rPr>
        <w:t>pendant toute posture ou activité</w:t>
      </w:r>
      <w:r w:rsidRPr="002C477A">
        <w:rPr>
          <w:rFonts w:eastAsia="Times New Roman" w:cstheme="minorHAnsi"/>
          <w:color w:val="000000"/>
          <w:sz w:val="21"/>
          <w:szCs w:val="21"/>
          <w:shd w:val="clear" w:color="auto" w:fill="FFFFFF"/>
          <w:lang w:eastAsia="fr-FR"/>
        </w:rPr>
        <w:t>".  </w:t>
      </w:r>
      <w:r w:rsidRPr="002C477A">
        <w:rPr>
          <w:rFonts w:eastAsia="Times New Roman" w:cstheme="minorHAnsi"/>
          <w:color w:val="000000"/>
          <w:sz w:val="21"/>
          <w:szCs w:val="21"/>
          <w:lang w:eastAsia="fr-FR"/>
        </w:rPr>
        <w:br/>
      </w:r>
      <w:r w:rsidRPr="002C477A">
        <w:rPr>
          <w:rFonts w:eastAsia="Times New Roman" w:cstheme="minorHAnsi"/>
          <w:color w:val="000000"/>
          <w:sz w:val="21"/>
          <w:szCs w:val="21"/>
          <w:shd w:val="clear" w:color="auto" w:fill="FFFFFF"/>
          <w:lang w:eastAsia="fr-FR"/>
        </w:rPr>
        <w:br/>
      </w:r>
      <w:r w:rsidRPr="002C477A">
        <w:rPr>
          <w:rFonts w:eastAsia="Times New Roman" w:cstheme="minorHAnsi"/>
          <w:b/>
          <w:bCs/>
          <w:color w:val="000000"/>
          <w:sz w:val="21"/>
          <w:szCs w:val="21"/>
          <w:shd w:val="clear" w:color="auto" w:fill="FFFFFF"/>
          <w:lang w:eastAsia="fr-FR"/>
        </w:rPr>
        <w:t>L’objectif de ce questionnaire </w:t>
      </w:r>
      <w:r w:rsidRPr="002C477A">
        <w:rPr>
          <w:rFonts w:eastAsia="Times New Roman" w:cstheme="minorHAnsi"/>
          <w:color w:val="000000"/>
          <w:sz w:val="21"/>
          <w:szCs w:val="21"/>
          <w:shd w:val="clear" w:color="auto" w:fill="FFFFFF"/>
          <w:lang w:eastAsia="fr-FR"/>
        </w:rPr>
        <w:t>est d’identifier les pratiques d'évaluation du contrôle postural par les kinésithérapeutes français chez les personnes âgées de 60 ans et plus. Comprendre vos choix et vos besoins. </w:t>
      </w:r>
      <w:r w:rsidRPr="002C477A">
        <w:rPr>
          <w:rFonts w:eastAsia="Times New Roman" w:cstheme="minorHAnsi"/>
          <w:color w:val="000000"/>
          <w:sz w:val="21"/>
          <w:szCs w:val="21"/>
          <w:lang w:eastAsia="fr-FR"/>
        </w:rPr>
        <w:br/>
      </w:r>
      <w:r w:rsidRPr="002C477A">
        <w:rPr>
          <w:rFonts w:eastAsia="Times New Roman" w:cstheme="minorHAnsi"/>
          <w:color w:val="000000"/>
          <w:sz w:val="21"/>
          <w:szCs w:val="21"/>
          <w:shd w:val="clear" w:color="auto" w:fill="FFFFFF"/>
          <w:lang w:eastAsia="fr-FR"/>
        </w:rPr>
        <w:br/>
        <w:t>Nous vous proposons de participer à cette étude en remplissant un</w:t>
      </w:r>
      <w:r w:rsidRPr="002C477A">
        <w:rPr>
          <w:rFonts w:eastAsia="Times New Roman" w:cstheme="minorHAnsi"/>
          <w:b/>
          <w:bCs/>
          <w:color w:val="000000"/>
          <w:sz w:val="21"/>
          <w:szCs w:val="21"/>
          <w:shd w:val="clear" w:color="auto" w:fill="FFFFFF"/>
          <w:lang w:eastAsia="fr-FR"/>
        </w:rPr>
        <w:t xml:space="preserve"> questionnaire anonyme</w:t>
      </w:r>
      <w:r w:rsidRPr="002C477A">
        <w:rPr>
          <w:rFonts w:eastAsia="Times New Roman" w:cstheme="minorHAnsi"/>
          <w:color w:val="000000"/>
          <w:sz w:val="21"/>
          <w:szCs w:val="21"/>
          <w:shd w:val="clear" w:color="auto" w:fill="FFFFFF"/>
          <w:lang w:eastAsia="fr-FR"/>
        </w:rPr>
        <w:t xml:space="preserve"> qui prendra </w:t>
      </w:r>
      <w:r w:rsidRPr="002C477A">
        <w:rPr>
          <w:rFonts w:eastAsia="Times New Roman" w:cstheme="minorHAnsi"/>
          <w:b/>
          <w:bCs/>
          <w:color w:val="000000"/>
          <w:sz w:val="21"/>
          <w:szCs w:val="21"/>
          <w:shd w:val="clear" w:color="auto" w:fill="FFFFFF"/>
          <w:lang w:eastAsia="fr-FR"/>
        </w:rPr>
        <w:t>une dizaine de minutes de votre temps</w:t>
      </w:r>
      <w:r w:rsidRPr="002C477A">
        <w:rPr>
          <w:rFonts w:eastAsia="Times New Roman" w:cstheme="minorHAnsi"/>
          <w:color w:val="000000"/>
          <w:sz w:val="21"/>
          <w:szCs w:val="21"/>
          <w:shd w:val="clear" w:color="auto" w:fill="FFFFFF"/>
          <w:lang w:eastAsia="fr-FR"/>
        </w:rPr>
        <w:t>. Ce questionnaire est composé de 7 sections et de 26 questions. Vos réponses contribueront à l'amélioration des pratiques d'évaluation du contrôle postural chez la personne âgée de 60 ans et plus.</w:t>
      </w:r>
      <w:r w:rsidRPr="002C477A">
        <w:rPr>
          <w:rFonts w:eastAsia="Times New Roman" w:cstheme="minorHAnsi"/>
          <w:color w:val="000000"/>
          <w:sz w:val="21"/>
          <w:szCs w:val="21"/>
          <w:shd w:val="clear" w:color="auto" w:fill="FFFFFF"/>
          <w:lang w:eastAsia="fr-FR"/>
        </w:rPr>
        <w:br/>
      </w:r>
      <w:r w:rsidRPr="002C477A">
        <w:rPr>
          <w:rFonts w:eastAsia="Times New Roman" w:cstheme="minorHAnsi"/>
          <w:color w:val="000000"/>
          <w:sz w:val="21"/>
          <w:szCs w:val="21"/>
          <w:shd w:val="clear" w:color="auto" w:fill="FFFFFF"/>
          <w:lang w:eastAsia="fr-FR"/>
        </w:rPr>
        <w:br/>
        <w:t>Nous vous remercions par avance pour votre contribution. </w:t>
      </w:r>
      <w:r w:rsidRPr="002C477A">
        <w:rPr>
          <w:rFonts w:eastAsia="Times New Roman" w:cstheme="minorHAnsi"/>
          <w:color w:val="000000"/>
          <w:sz w:val="21"/>
          <w:szCs w:val="21"/>
          <w:shd w:val="clear" w:color="auto" w:fill="FFFFFF"/>
          <w:lang w:eastAsia="fr-FR"/>
        </w:rPr>
        <w:br/>
      </w:r>
      <w:r w:rsidRPr="002C477A">
        <w:rPr>
          <w:rFonts w:eastAsia="Times New Roman" w:cstheme="minorHAnsi"/>
          <w:color w:val="000000"/>
          <w:sz w:val="21"/>
          <w:szCs w:val="21"/>
          <w:lang w:eastAsia="fr-FR"/>
        </w:rPr>
        <w:br/>
      </w:r>
      <w:r w:rsidRPr="002C477A">
        <w:rPr>
          <w:rFonts w:eastAsia="Times New Roman" w:cstheme="minorHAnsi"/>
          <w:b/>
          <w:bCs/>
          <w:color w:val="000000"/>
          <w:sz w:val="21"/>
          <w:szCs w:val="21"/>
          <w:shd w:val="clear" w:color="auto" w:fill="FFFFFF"/>
          <w:lang w:eastAsia="fr-FR"/>
        </w:rPr>
        <w:t>Respect du règlement</w:t>
      </w:r>
      <w:r w:rsidRPr="002C477A">
        <w:rPr>
          <w:rFonts w:eastAsia="Times New Roman" w:cstheme="minorHAnsi"/>
          <w:b/>
          <w:bCs/>
          <w:color w:val="000000"/>
          <w:sz w:val="21"/>
          <w:szCs w:val="21"/>
          <w:u w:val="single"/>
          <w:shd w:val="clear" w:color="auto" w:fill="FFFFFF"/>
          <w:lang w:eastAsia="fr-FR"/>
        </w:rPr>
        <w:t xml:space="preserve"> général sur la protection des données (RGPD) :</w:t>
      </w:r>
      <w:r w:rsidRPr="002C477A">
        <w:rPr>
          <w:rFonts w:eastAsia="Times New Roman" w:cstheme="minorHAnsi"/>
          <w:color w:val="000000"/>
          <w:sz w:val="21"/>
          <w:szCs w:val="21"/>
          <w:lang w:eastAsia="fr-FR"/>
        </w:rPr>
        <w:br/>
      </w:r>
      <w:r w:rsidRPr="002C477A">
        <w:rPr>
          <w:rFonts w:eastAsia="Times New Roman" w:cstheme="minorHAnsi"/>
          <w:color w:val="000000"/>
          <w:sz w:val="21"/>
          <w:szCs w:val="21"/>
          <w:shd w:val="clear" w:color="auto" w:fill="FFFFFF"/>
          <w:lang w:eastAsia="fr-FR"/>
        </w:rPr>
        <w:t>ce questionnaire respecte le RGPD, les informations ci-dessous vous sont données en conformité avec celui-ci.</w:t>
      </w:r>
      <w:r w:rsidRPr="002C477A">
        <w:rPr>
          <w:rFonts w:eastAsia="Times New Roman" w:cstheme="minorHAnsi"/>
          <w:color w:val="000000"/>
          <w:sz w:val="21"/>
          <w:szCs w:val="21"/>
          <w:lang w:eastAsia="fr-FR"/>
        </w:rPr>
        <w:br/>
      </w:r>
      <w:r w:rsidRPr="002C477A">
        <w:rPr>
          <w:rFonts w:eastAsia="Times New Roman" w:cstheme="minorHAnsi"/>
          <w:b/>
          <w:bCs/>
          <w:color w:val="000000"/>
          <w:sz w:val="21"/>
          <w:szCs w:val="21"/>
          <w:u w:val="single"/>
          <w:shd w:val="clear" w:color="auto" w:fill="FFFFFF"/>
          <w:lang w:eastAsia="fr-FR"/>
        </w:rPr>
        <w:t>Type de données collectées</w:t>
      </w:r>
      <w:r w:rsidRPr="002C477A">
        <w:rPr>
          <w:rFonts w:eastAsia="Times New Roman" w:cstheme="minorHAnsi"/>
          <w:b/>
          <w:bCs/>
          <w:color w:val="000000"/>
          <w:sz w:val="21"/>
          <w:szCs w:val="21"/>
          <w:shd w:val="clear" w:color="auto" w:fill="FFFFFF"/>
          <w:lang w:eastAsia="fr-FR"/>
        </w:rPr>
        <w:t> </w:t>
      </w:r>
      <w:r w:rsidRPr="002C477A">
        <w:rPr>
          <w:rFonts w:eastAsia="Times New Roman" w:cstheme="minorHAnsi"/>
          <w:color w:val="000000"/>
          <w:sz w:val="21"/>
          <w:szCs w:val="21"/>
          <w:shd w:val="clear" w:color="auto" w:fill="FFFFFF"/>
          <w:lang w:eastAsia="fr-FR"/>
        </w:rPr>
        <w:t>: vos données démographiques, votre champ d’intervention, le nombre d’année de pratique clinique, les composants du contrôle postural évalués, les outils et tests que vous choisissez pour évaluer le contrôle postural d’une personne ainsi que la fréquence à laquelle vous les utilisez.</w:t>
      </w:r>
    </w:p>
    <w:p w14:paraId="3C7D1F4C" w14:textId="77777777" w:rsidR="00E63D77" w:rsidRDefault="00E63D77" w:rsidP="00E63D77">
      <w:pPr>
        <w:shd w:val="clear" w:color="auto" w:fill="FFFFFF"/>
        <w:spacing w:line="360" w:lineRule="auto"/>
        <w:rPr>
          <w:rFonts w:eastAsia="Times New Roman" w:cstheme="minorHAnsi"/>
          <w:color w:val="000000"/>
          <w:sz w:val="21"/>
          <w:szCs w:val="21"/>
          <w:shd w:val="clear" w:color="auto" w:fill="FFFFFF"/>
          <w:lang w:eastAsia="fr-FR"/>
        </w:rPr>
      </w:pPr>
      <w:r w:rsidRPr="002C477A">
        <w:rPr>
          <w:rFonts w:eastAsia="Times New Roman" w:cstheme="minorHAnsi"/>
          <w:color w:val="000000"/>
          <w:sz w:val="21"/>
          <w:szCs w:val="21"/>
          <w:u w:val="single"/>
          <w:shd w:val="clear" w:color="auto" w:fill="FFFFFF"/>
          <w:lang w:eastAsia="fr-FR"/>
        </w:rPr>
        <w:lastRenderedPageBreak/>
        <w:br/>
      </w:r>
      <w:r w:rsidRPr="002C477A">
        <w:rPr>
          <w:rFonts w:eastAsia="Times New Roman" w:cstheme="minorHAnsi"/>
          <w:b/>
          <w:bCs/>
          <w:color w:val="000000"/>
          <w:sz w:val="21"/>
          <w:szCs w:val="21"/>
          <w:u w:val="single"/>
          <w:shd w:val="clear" w:color="auto" w:fill="FFFFFF"/>
          <w:lang w:eastAsia="fr-FR"/>
        </w:rPr>
        <w:t>Destinataire des données </w:t>
      </w:r>
      <w:r w:rsidRPr="002C477A">
        <w:rPr>
          <w:rFonts w:eastAsia="Times New Roman" w:cstheme="minorHAnsi"/>
          <w:color w:val="000000"/>
          <w:sz w:val="21"/>
          <w:szCs w:val="21"/>
          <w:shd w:val="clear" w:color="auto" w:fill="FFFFFF"/>
          <w:lang w:eastAsia="fr-FR"/>
        </w:rPr>
        <w:t>: LE BRETON Titouan (titouan35230@gmail.com ; étudiant à l'IFPEK) et BONARDET Nathalie (n.bonardet@ifpek.org, formatrice-chercheuse IFPEK).</w:t>
      </w:r>
    </w:p>
    <w:p w14:paraId="27267D01" w14:textId="77777777" w:rsidR="00E63D77" w:rsidRDefault="00E63D77" w:rsidP="00E63D77">
      <w:pPr>
        <w:shd w:val="clear" w:color="auto" w:fill="FFFFFF"/>
        <w:spacing w:line="360" w:lineRule="auto"/>
        <w:rPr>
          <w:rFonts w:eastAsia="Times New Roman" w:cstheme="minorHAnsi"/>
          <w:color w:val="000000"/>
          <w:sz w:val="21"/>
          <w:szCs w:val="21"/>
          <w:shd w:val="clear" w:color="auto" w:fill="FFFFFF"/>
          <w:lang w:eastAsia="fr-FR"/>
        </w:rPr>
      </w:pPr>
      <w:r w:rsidRPr="002C477A">
        <w:rPr>
          <w:rFonts w:eastAsia="Times New Roman" w:cstheme="minorHAnsi"/>
          <w:color w:val="000000"/>
          <w:sz w:val="21"/>
          <w:szCs w:val="21"/>
          <w:lang w:eastAsia="fr-FR"/>
        </w:rPr>
        <w:br/>
      </w:r>
      <w:r w:rsidRPr="002C477A">
        <w:rPr>
          <w:rFonts w:eastAsia="Times New Roman" w:cstheme="minorHAnsi"/>
          <w:b/>
          <w:bCs/>
          <w:color w:val="000000"/>
          <w:sz w:val="21"/>
          <w:szCs w:val="21"/>
          <w:u w:val="single"/>
          <w:shd w:val="clear" w:color="auto" w:fill="FFFFFF"/>
          <w:lang w:eastAsia="fr-FR"/>
        </w:rPr>
        <w:t>Périodes de stockage</w:t>
      </w:r>
      <w:r w:rsidRPr="002C477A">
        <w:rPr>
          <w:rFonts w:eastAsia="Times New Roman" w:cstheme="minorHAnsi"/>
          <w:color w:val="000000"/>
          <w:sz w:val="21"/>
          <w:szCs w:val="21"/>
          <w:u w:val="single"/>
          <w:shd w:val="clear" w:color="auto" w:fill="FFFFFF"/>
          <w:lang w:eastAsia="fr-FR"/>
        </w:rPr>
        <w:t> </w:t>
      </w:r>
      <w:r w:rsidRPr="002C477A">
        <w:rPr>
          <w:rFonts w:eastAsia="Times New Roman" w:cstheme="minorHAnsi"/>
          <w:color w:val="000000"/>
          <w:sz w:val="21"/>
          <w:szCs w:val="21"/>
          <w:shd w:val="clear" w:color="auto" w:fill="FFFFFF"/>
          <w:lang w:eastAsia="fr-FR"/>
        </w:rPr>
        <w:t>: les données seront conservées jusqu'à publication des résultats de l'étude elles seront ensuite archivées selon la loi en vigueur.</w:t>
      </w:r>
    </w:p>
    <w:p w14:paraId="0A965367" w14:textId="77777777" w:rsidR="00E63D77" w:rsidRDefault="00E63D77" w:rsidP="00E63D77">
      <w:pPr>
        <w:shd w:val="clear" w:color="auto" w:fill="FFFFFF"/>
        <w:spacing w:line="360" w:lineRule="auto"/>
        <w:rPr>
          <w:rFonts w:eastAsia="Times New Roman" w:cstheme="minorHAnsi"/>
          <w:color w:val="000000"/>
          <w:sz w:val="21"/>
          <w:szCs w:val="21"/>
          <w:shd w:val="clear" w:color="auto" w:fill="FFFFFF"/>
          <w:lang w:eastAsia="fr-FR"/>
        </w:rPr>
      </w:pPr>
      <w:r w:rsidRPr="002C477A">
        <w:rPr>
          <w:rFonts w:eastAsia="Times New Roman" w:cstheme="minorHAnsi"/>
          <w:color w:val="000000"/>
          <w:sz w:val="21"/>
          <w:szCs w:val="21"/>
          <w:lang w:eastAsia="fr-FR"/>
        </w:rPr>
        <w:br/>
      </w:r>
      <w:r w:rsidRPr="002C477A">
        <w:rPr>
          <w:rFonts w:eastAsia="Times New Roman" w:cstheme="minorHAnsi"/>
          <w:b/>
          <w:bCs/>
          <w:color w:val="000000"/>
          <w:sz w:val="21"/>
          <w:szCs w:val="21"/>
          <w:u w:val="single"/>
          <w:shd w:val="clear" w:color="auto" w:fill="FFFFFF"/>
          <w:lang w:eastAsia="fr-FR"/>
        </w:rPr>
        <w:t>Droits d’accès, de rectification, d’opposition, à l’effacement, à la limitation du traitement</w:t>
      </w:r>
      <w:r w:rsidRPr="002C477A">
        <w:rPr>
          <w:rFonts w:eastAsia="Times New Roman" w:cstheme="minorHAnsi"/>
          <w:color w:val="000000"/>
          <w:sz w:val="21"/>
          <w:szCs w:val="21"/>
          <w:u w:val="single"/>
          <w:shd w:val="clear" w:color="auto" w:fill="FFFFFF"/>
          <w:lang w:eastAsia="fr-FR"/>
        </w:rPr>
        <w:t> </w:t>
      </w:r>
      <w:r w:rsidRPr="002C477A">
        <w:rPr>
          <w:rFonts w:eastAsia="Times New Roman" w:cstheme="minorHAnsi"/>
          <w:color w:val="000000"/>
          <w:sz w:val="21"/>
          <w:szCs w:val="21"/>
          <w:shd w:val="clear" w:color="auto" w:fill="FFFFFF"/>
          <w:lang w:eastAsia="fr-FR"/>
        </w:rPr>
        <w:t>: à tout moment vous êtes libre de demander à consulter vos données recueillies, à les rectifier, vous opposez à leur traitement ou de demander à les effacer. Il vous suffit de contacter l'équipe investigatrice par mail en indiquant le titre de l'étude, ou son acronyme : ISOTONIC (dpo@ifpek.org) ainsi que votre code d'anonymisation. Votre </w:t>
      </w:r>
      <w:r w:rsidRPr="002C477A">
        <w:rPr>
          <w:rFonts w:eastAsia="Times New Roman" w:cstheme="minorHAnsi"/>
          <w:b/>
          <w:bCs/>
          <w:color w:val="000000"/>
          <w:sz w:val="21"/>
          <w:szCs w:val="21"/>
          <w:shd w:val="clear" w:color="auto" w:fill="FFFFFF"/>
          <w:lang w:eastAsia="fr-FR"/>
        </w:rPr>
        <w:t>code d’anonymisation </w:t>
      </w:r>
      <w:r w:rsidRPr="002C477A">
        <w:rPr>
          <w:rFonts w:eastAsia="Times New Roman" w:cstheme="minorHAnsi"/>
          <w:color w:val="000000"/>
          <w:sz w:val="21"/>
          <w:szCs w:val="21"/>
          <w:shd w:val="clear" w:color="auto" w:fill="FFFFFF"/>
          <w:lang w:eastAsia="fr-FR"/>
        </w:rPr>
        <w:t>doit être composé de 3 lettres et 3 chiffres de votre choix.</w:t>
      </w:r>
    </w:p>
    <w:p w14:paraId="3DD8DB17" w14:textId="77777777" w:rsidR="00B5382A" w:rsidRDefault="00E63D77" w:rsidP="00E63D77">
      <w:pPr>
        <w:shd w:val="clear" w:color="auto" w:fill="FFFFFF"/>
        <w:spacing w:line="360" w:lineRule="auto"/>
        <w:rPr>
          <w:rFonts w:eastAsia="Times New Roman" w:cstheme="minorHAnsi"/>
          <w:color w:val="000000"/>
          <w:sz w:val="21"/>
          <w:szCs w:val="21"/>
          <w:shd w:val="clear" w:color="auto" w:fill="FFFFFF"/>
          <w:lang w:eastAsia="fr-FR"/>
        </w:rPr>
      </w:pPr>
      <w:r w:rsidRPr="002C477A">
        <w:rPr>
          <w:rFonts w:eastAsia="Times New Roman" w:cstheme="minorHAnsi"/>
          <w:color w:val="000000"/>
          <w:sz w:val="21"/>
          <w:szCs w:val="21"/>
          <w:lang w:eastAsia="fr-FR"/>
        </w:rPr>
        <w:br/>
      </w:r>
      <w:r w:rsidRPr="002C477A">
        <w:rPr>
          <w:rFonts w:eastAsia="Times New Roman" w:cstheme="minorHAnsi"/>
          <w:b/>
          <w:bCs/>
          <w:color w:val="000000"/>
          <w:sz w:val="21"/>
          <w:szCs w:val="21"/>
          <w:u w:val="single"/>
          <w:shd w:val="clear" w:color="auto" w:fill="FFFFFF"/>
          <w:lang w:eastAsia="fr-FR"/>
        </w:rPr>
        <w:t>Le caractère facultatif de la participation </w:t>
      </w:r>
      <w:r w:rsidRPr="002C477A">
        <w:rPr>
          <w:rFonts w:eastAsia="Times New Roman" w:cstheme="minorHAnsi"/>
          <w:color w:val="000000"/>
          <w:sz w:val="21"/>
          <w:szCs w:val="21"/>
          <w:shd w:val="clear" w:color="auto" w:fill="FFFFFF"/>
          <w:lang w:eastAsia="fr-FR"/>
        </w:rPr>
        <w:t>: la participation à ce questionnaire ne revêt aucun caractère obligatoire, vous êtes libre d'y participer ou non.</w:t>
      </w:r>
    </w:p>
    <w:p w14:paraId="595A2C85" w14:textId="59E4E959" w:rsidR="00E63D77" w:rsidRPr="002C477A" w:rsidRDefault="00E63D77" w:rsidP="00E63D77">
      <w:pPr>
        <w:shd w:val="clear" w:color="auto" w:fill="FFFFFF"/>
        <w:spacing w:line="360" w:lineRule="auto"/>
        <w:rPr>
          <w:rFonts w:eastAsia="Times New Roman" w:cstheme="minorHAnsi"/>
          <w:color w:val="000000"/>
          <w:sz w:val="21"/>
          <w:szCs w:val="21"/>
          <w:shd w:val="clear" w:color="auto" w:fill="FFFFFF"/>
          <w:lang w:eastAsia="fr-FR"/>
        </w:rPr>
      </w:pPr>
      <w:r w:rsidRPr="002C477A">
        <w:rPr>
          <w:rFonts w:eastAsia="Times New Roman" w:cstheme="minorHAnsi"/>
          <w:color w:val="000000"/>
          <w:sz w:val="21"/>
          <w:szCs w:val="21"/>
          <w:lang w:eastAsia="fr-FR"/>
        </w:rPr>
        <w:br/>
      </w:r>
      <w:r w:rsidRPr="002C477A">
        <w:rPr>
          <w:rFonts w:eastAsia="Times New Roman" w:cstheme="minorHAnsi"/>
          <w:color w:val="000000"/>
          <w:sz w:val="21"/>
          <w:szCs w:val="21"/>
          <w:shd w:val="clear" w:color="auto" w:fill="FFFFFF"/>
          <w:lang w:eastAsia="fr-FR"/>
        </w:rPr>
        <w:t>Aucune donnée collectée ne sont transférées hors de l’Union européenne </w:t>
      </w:r>
      <w:r w:rsidRPr="00C0572E">
        <w:rPr>
          <w:rFonts w:eastAsia="Times New Roman" w:cstheme="minorHAnsi"/>
          <w:color w:val="000000"/>
          <w:shd w:val="clear" w:color="auto" w:fill="FFFFFF"/>
          <w:lang w:eastAsia="fr-FR"/>
        </w:rPr>
        <w:t>»</w:t>
      </w:r>
    </w:p>
    <w:p w14:paraId="6C534906" w14:textId="3F448F44" w:rsidR="004C1EAA" w:rsidRPr="00B5382A" w:rsidRDefault="00E63D77" w:rsidP="0011289B">
      <w:pPr>
        <w:spacing w:line="360" w:lineRule="auto"/>
        <w:jc w:val="both"/>
        <w:rPr>
          <w:rFonts w:eastAsia="Times New Roman" w:cstheme="minorHAnsi"/>
          <w:color w:val="000000"/>
          <w:shd w:val="clear" w:color="auto" w:fill="FFFFFF"/>
          <w:lang w:eastAsia="fr-FR"/>
        </w:rPr>
      </w:pPr>
      <w:r w:rsidRPr="00C0572E">
        <w:rPr>
          <w:rFonts w:eastAsia="Times New Roman" w:cstheme="minorHAnsi"/>
          <w:color w:val="000000"/>
          <w:shd w:val="clear" w:color="auto" w:fill="FFFFFF"/>
          <w:lang w:eastAsia="fr-FR"/>
        </w:rPr>
        <w:tab/>
        <w:t>Le questionnaire est hébergé sur Microsoft Forms afin de respecter la politique de protection des données. Ce support respecte les normes RGPD</w:t>
      </w:r>
      <w:r>
        <w:rPr>
          <w:rFonts w:eastAsia="Times New Roman" w:cstheme="minorHAnsi"/>
          <w:color w:val="000000"/>
          <w:shd w:val="clear" w:color="auto" w:fill="FFFFFF"/>
          <w:lang w:eastAsia="fr-FR"/>
        </w:rPr>
        <w:t xml:space="preserve"> </w:t>
      </w:r>
      <w:r>
        <w:rPr>
          <w:rFonts w:eastAsia="Times New Roman" w:cstheme="minorHAnsi"/>
          <w:color w:val="000000"/>
          <w:shd w:val="clear" w:color="auto" w:fill="FFFFFF"/>
          <w:lang w:eastAsia="fr-FR"/>
        </w:rPr>
        <w:fldChar w:fldCharType="begin"/>
      </w:r>
      <w:r>
        <w:rPr>
          <w:rFonts w:eastAsia="Times New Roman" w:cstheme="minorHAnsi"/>
          <w:color w:val="000000"/>
          <w:shd w:val="clear" w:color="auto" w:fill="FFFFFF"/>
          <w:lang w:eastAsia="fr-FR"/>
        </w:rPr>
        <w:instrText xml:space="preserve"> ADDIN ZOTERO_ITEM CSL_CITATION {"citationID":"9nqtJjTM","properties":{"formattedCitation":"(CNIL, 2020)","plainCitation":"(CNIL, 2020)","noteIndex":0},"citationItems":[{"id":453,"uris":["http://zotero.org/users/10583480/items/452R8J2H"],"itemData":{"id":453,"type":"webpage","abstract":"Qu’est-ce que l’anonymisation ? L’anonymisation est un traitement qui consiste à utiliser un ensemble de techniques de manière à rendre impossible, en pratique, toute identification de la personne par quelque moyen que ce soit et de manière irréversible. L’anonymisation ne doit pas être confondue avec la pseudonymisation.","language":"fr","title":"L’anonymisation de données personnelles","URL":"https://www.cnil.fr/fr/technologies/lanonymisation-de-donnees-personnelles","author":[{"family":"CNIL","given":""}],"accessed":{"date-parts":[["2025",4,23]]},"issued":{"date-parts":[["2020"]]}}}],"schema":"https://github.com/citation-style-language/schema/raw/master/csl-citation.json"} </w:instrText>
      </w:r>
      <w:r>
        <w:rPr>
          <w:rFonts w:eastAsia="Times New Roman" w:cstheme="minorHAnsi"/>
          <w:color w:val="000000"/>
          <w:shd w:val="clear" w:color="auto" w:fill="FFFFFF"/>
          <w:lang w:eastAsia="fr-FR"/>
        </w:rPr>
        <w:fldChar w:fldCharType="separate"/>
      </w:r>
      <w:r>
        <w:rPr>
          <w:rFonts w:eastAsia="Times New Roman" w:cstheme="minorHAnsi"/>
          <w:noProof/>
          <w:color w:val="000000"/>
          <w:shd w:val="clear" w:color="auto" w:fill="FFFFFF"/>
          <w:lang w:eastAsia="fr-FR"/>
        </w:rPr>
        <w:t>(CNIL, 2020)</w:t>
      </w:r>
      <w:r>
        <w:rPr>
          <w:rFonts w:eastAsia="Times New Roman" w:cstheme="minorHAnsi"/>
          <w:color w:val="000000"/>
          <w:shd w:val="clear" w:color="auto" w:fill="FFFFFF"/>
          <w:lang w:eastAsia="fr-FR"/>
        </w:rPr>
        <w:fldChar w:fldCharType="end"/>
      </w:r>
      <w:r w:rsidRPr="00C0572E">
        <w:rPr>
          <w:rFonts w:eastAsia="Times New Roman" w:cstheme="minorHAnsi"/>
          <w:color w:val="000000"/>
          <w:shd w:val="clear" w:color="auto" w:fill="FFFFFF"/>
          <w:lang w:eastAsia="fr-FR"/>
        </w:rPr>
        <w:t>.</w:t>
      </w:r>
    </w:p>
    <w:p w14:paraId="005BE2F0" w14:textId="3EA0A43B" w:rsidR="004C1EAA" w:rsidRDefault="00B5382A" w:rsidP="00B5382A">
      <w:pPr>
        <w:pStyle w:val="Sansinterligne"/>
      </w:pPr>
      <w:bookmarkStart w:id="104" w:name="_Toc221439926"/>
      <w:r>
        <w:t>Annexe n°2 : Questionnaire</w:t>
      </w:r>
      <w:bookmarkEnd w:id="104"/>
      <w:r>
        <w:t xml:space="preserve"> </w:t>
      </w:r>
    </w:p>
    <w:p w14:paraId="7C30C75A" w14:textId="39BAD020" w:rsidR="004C1EAA" w:rsidRDefault="00B5382A" w:rsidP="0011289B">
      <w:pPr>
        <w:spacing w:line="360" w:lineRule="auto"/>
        <w:jc w:val="both"/>
        <w:rPr>
          <w:rFonts w:ascii="Calibri" w:hAnsi="Calibri" w:cs="Calibri"/>
        </w:rPr>
      </w:pPr>
      <w:r>
        <w:rPr>
          <w:rFonts w:ascii="Calibri" w:hAnsi="Calibri" w:cs="Calibri"/>
          <w:noProof/>
        </w:rPr>
        <w:drawing>
          <wp:inline distT="0" distB="0" distL="0" distR="0" wp14:anchorId="4ECF340A" wp14:editId="0BE4E52C">
            <wp:extent cx="5624429" cy="3113590"/>
            <wp:effectExtent l="0" t="0" r="1905" b="0"/>
            <wp:docPr id="204350693" name="Image 3" descr="Une image contenant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0693" name="Image 3" descr="Une image contenant texte, capture d’écran&#10;&#10;Le contenu généré par l’IA peut êtr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25847" cy="3169733"/>
                    </a:xfrm>
                    <a:prstGeom prst="rect">
                      <a:avLst/>
                    </a:prstGeom>
                  </pic:spPr>
                </pic:pic>
              </a:graphicData>
            </a:graphic>
          </wp:inline>
        </w:drawing>
      </w:r>
    </w:p>
    <w:p w14:paraId="5080E4B0" w14:textId="7E8E5307" w:rsidR="004C1EAA" w:rsidRDefault="00B5382A" w:rsidP="0011289B">
      <w:pPr>
        <w:spacing w:line="360" w:lineRule="auto"/>
        <w:jc w:val="both"/>
        <w:rPr>
          <w:rFonts w:ascii="Calibri" w:hAnsi="Calibri" w:cs="Calibri"/>
        </w:rPr>
      </w:pPr>
      <w:r>
        <w:rPr>
          <w:rFonts w:ascii="Calibri" w:hAnsi="Calibri" w:cs="Calibri"/>
          <w:noProof/>
        </w:rPr>
        <w:lastRenderedPageBreak/>
        <w:drawing>
          <wp:inline distT="0" distB="0" distL="0" distR="0" wp14:anchorId="55E89B87" wp14:editId="02A1952F">
            <wp:extent cx="5370653" cy="2463276"/>
            <wp:effectExtent l="0" t="0" r="1905" b="635"/>
            <wp:docPr id="274171621" name="Image 4" descr="Une image contenant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171621" name="Image 4" descr="Une image contenant texte, capture d’écran&#10;&#10;Le contenu généré par l’IA peut êtr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384172" cy="2469477"/>
                    </a:xfrm>
                    <a:prstGeom prst="rect">
                      <a:avLst/>
                    </a:prstGeom>
                  </pic:spPr>
                </pic:pic>
              </a:graphicData>
            </a:graphic>
          </wp:inline>
        </w:drawing>
      </w:r>
      <w:r>
        <w:rPr>
          <w:rFonts w:ascii="Calibri" w:hAnsi="Calibri" w:cs="Calibri"/>
          <w:noProof/>
        </w:rPr>
        <w:drawing>
          <wp:inline distT="0" distB="0" distL="0" distR="0" wp14:anchorId="47144C52" wp14:editId="29AD9107">
            <wp:extent cx="5301205" cy="1322671"/>
            <wp:effectExtent l="0" t="0" r="0" b="0"/>
            <wp:docPr id="738815919" name="Image 5" descr="Une image contenant texte, capture d’écran, reçu,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15919" name="Image 5" descr="Une image contenant texte, capture d’écran, reçu, algèbre&#10;&#10;Le contenu généré par l’IA peut êtr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18419" cy="1326966"/>
                    </a:xfrm>
                    <a:prstGeom prst="rect">
                      <a:avLst/>
                    </a:prstGeom>
                  </pic:spPr>
                </pic:pic>
              </a:graphicData>
            </a:graphic>
          </wp:inline>
        </w:drawing>
      </w:r>
      <w:r>
        <w:rPr>
          <w:rFonts w:ascii="Calibri" w:hAnsi="Calibri" w:cs="Calibri"/>
          <w:noProof/>
        </w:rPr>
        <w:drawing>
          <wp:inline distT="0" distB="0" distL="0" distR="0" wp14:anchorId="5C261F51" wp14:editId="70C3FC28">
            <wp:extent cx="4815069" cy="2579539"/>
            <wp:effectExtent l="0" t="0" r="0" b="0"/>
            <wp:docPr id="1023732290" name="Image 6" descr="Une image contenant texte, capture d’écran, algèbre,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32290" name="Image 6" descr="Une image contenant texte, capture d’écran, algèbre, reçu&#10;&#10;Le contenu généré par l’IA peut êtr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54154" cy="2600478"/>
                    </a:xfrm>
                    <a:prstGeom prst="rect">
                      <a:avLst/>
                    </a:prstGeom>
                  </pic:spPr>
                </pic:pic>
              </a:graphicData>
            </a:graphic>
          </wp:inline>
        </w:drawing>
      </w:r>
      <w:r>
        <w:rPr>
          <w:rFonts w:ascii="Calibri" w:hAnsi="Calibri" w:cs="Calibri"/>
          <w:noProof/>
        </w:rPr>
        <w:lastRenderedPageBreak/>
        <w:drawing>
          <wp:inline distT="0" distB="0" distL="0" distR="0" wp14:anchorId="1A2B08D3" wp14:editId="639546A4">
            <wp:extent cx="5759450" cy="2356485"/>
            <wp:effectExtent l="0" t="0" r="6350" b="5715"/>
            <wp:docPr id="1511888025" name="Image 7" descr="Une image contenant texte, reçu, algèbr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88025" name="Image 7" descr="Une image contenant texte, reçu, algèbre, capture d’écran&#10;&#10;Le contenu généré par l’IA peut êtr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9450" cy="2356485"/>
                    </a:xfrm>
                    <a:prstGeom prst="rect">
                      <a:avLst/>
                    </a:prstGeom>
                  </pic:spPr>
                </pic:pic>
              </a:graphicData>
            </a:graphic>
          </wp:inline>
        </w:drawing>
      </w:r>
      <w:r>
        <w:rPr>
          <w:rFonts w:ascii="Calibri" w:hAnsi="Calibri" w:cs="Calibri"/>
          <w:noProof/>
        </w:rPr>
        <w:drawing>
          <wp:inline distT="0" distB="0" distL="0" distR="0" wp14:anchorId="45E0FD79" wp14:editId="471DF6E3">
            <wp:extent cx="5759450" cy="2589530"/>
            <wp:effectExtent l="0" t="0" r="6350" b="1270"/>
            <wp:docPr id="1384150281" name="Image 8" descr="Une image contenant texte, algèbre, capture d’écran,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50281" name="Image 8" descr="Une image contenant texte, algèbre, capture d’écran, reçu&#10;&#10;Le contenu généré par l’IA peut êtr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59450" cy="2589530"/>
                    </a:xfrm>
                    <a:prstGeom prst="rect">
                      <a:avLst/>
                    </a:prstGeom>
                  </pic:spPr>
                </pic:pic>
              </a:graphicData>
            </a:graphic>
          </wp:inline>
        </w:drawing>
      </w:r>
      <w:r>
        <w:rPr>
          <w:rFonts w:ascii="Calibri" w:hAnsi="Calibri" w:cs="Calibri"/>
          <w:noProof/>
        </w:rPr>
        <w:drawing>
          <wp:inline distT="0" distB="0" distL="0" distR="0" wp14:anchorId="7031DE71" wp14:editId="4B779F10">
            <wp:extent cx="5759450" cy="1422400"/>
            <wp:effectExtent l="0" t="0" r="6350" b="0"/>
            <wp:docPr id="1367603039" name="Image 9" descr="Une image contenant texte, algèbre, capture d’écran,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03039" name="Image 9" descr="Une image contenant texte, algèbre, capture d’écran, reçu&#10;&#10;Le contenu généré par l’IA peut êtr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59450" cy="1422400"/>
                    </a:xfrm>
                    <a:prstGeom prst="rect">
                      <a:avLst/>
                    </a:prstGeom>
                  </pic:spPr>
                </pic:pic>
              </a:graphicData>
            </a:graphic>
          </wp:inline>
        </w:drawing>
      </w:r>
      <w:r>
        <w:rPr>
          <w:rFonts w:ascii="Calibri" w:hAnsi="Calibri" w:cs="Calibri"/>
          <w:noProof/>
        </w:rPr>
        <w:lastRenderedPageBreak/>
        <w:drawing>
          <wp:inline distT="0" distB="0" distL="0" distR="0" wp14:anchorId="5E0943AF" wp14:editId="3CACC7BE">
            <wp:extent cx="5759450" cy="3441065"/>
            <wp:effectExtent l="0" t="0" r="6350" b="635"/>
            <wp:docPr id="93939563" name="Image 10" descr="Une image contenant texte, capture d’écran, nombre,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9563" name="Image 10" descr="Une image contenant texte, capture d’écran, nombre, reçu&#10;&#10;Le contenu généré par l’IA peut êtr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59450" cy="3441065"/>
                    </a:xfrm>
                    <a:prstGeom prst="rect">
                      <a:avLst/>
                    </a:prstGeom>
                  </pic:spPr>
                </pic:pic>
              </a:graphicData>
            </a:graphic>
          </wp:inline>
        </w:drawing>
      </w:r>
      <w:r>
        <w:rPr>
          <w:rFonts w:ascii="Calibri" w:hAnsi="Calibri" w:cs="Calibri"/>
          <w:noProof/>
        </w:rPr>
        <w:drawing>
          <wp:inline distT="0" distB="0" distL="0" distR="0" wp14:anchorId="2341989B" wp14:editId="66F0BDC3">
            <wp:extent cx="5759450" cy="2856865"/>
            <wp:effectExtent l="0" t="0" r="6350" b="635"/>
            <wp:docPr id="215472151" name="Image 11" descr="Une image contenant texte, capture d’écran, algèbre,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72151" name="Image 11" descr="Une image contenant texte, capture d’écran, algèbre, reçu&#10;&#10;Le contenu généré par l’IA peut êtr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59450" cy="2856865"/>
                    </a:xfrm>
                    <a:prstGeom prst="rect">
                      <a:avLst/>
                    </a:prstGeom>
                  </pic:spPr>
                </pic:pic>
              </a:graphicData>
            </a:graphic>
          </wp:inline>
        </w:drawing>
      </w:r>
      <w:r>
        <w:rPr>
          <w:rFonts w:ascii="Calibri" w:hAnsi="Calibri" w:cs="Calibri"/>
          <w:noProof/>
        </w:rPr>
        <w:drawing>
          <wp:inline distT="0" distB="0" distL="0" distR="0" wp14:anchorId="4E3D1809" wp14:editId="4983F8E8">
            <wp:extent cx="4525702" cy="2264847"/>
            <wp:effectExtent l="0" t="0" r="0" b="0"/>
            <wp:docPr id="998765546" name="Image 12" descr="Une image contenant texte, capture d’écran, ivoire,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65546" name="Image 12" descr="Une image contenant texte, capture d’écran, ivoire, reçu&#10;&#10;Le contenu généré par l’IA peut êtr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541841" cy="2272924"/>
                    </a:xfrm>
                    <a:prstGeom prst="rect">
                      <a:avLst/>
                    </a:prstGeom>
                  </pic:spPr>
                </pic:pic>
              </a:graphicData>
            </a:graphic>
          </wp:inline>
        </w:drawing>
      </w:r>
      <w:r>
        <w:rPr>
          <w:rFonts w:ascii="Calibri" w:hAnsi="Calibri" w:cs="Calibri"/>
          <w:noProof/>
        </w:rPr>
        <w:lastRenderedPageBreak/>
        <w:drawing>
          <wp:inline distT="0" distB="0" distL="0" distR="0" wp14:anchorId="6F2A1D86" wp14:editId="772B0C4E">
            <wp:extent cx="5361485" cy="1932972"/>
            <wp:effectExtent l="0" t="0" r="0" b="0"/>
            <wp:docPr id="1835902437" name="Image 13" descr="Une image contenant texte, reçu,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02437" name="Image 13" descr="Une image contenant texte, reçu, algèbre&#10;&#10;Le contenu généré par l’IA peut êtr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08595" cy="1949956"/>
                    </a:xfrm>
                    <a:prstGeom prst="rect">
                      <a:avLst/>
                    </a:prstGeom>
                  </pic:spPr>
                </pic:pic>
              </a:graphicData>
            </a:graphic>
          </wp:inline>
        </w:drawing>
      </w:r>
      <w:r>
        <w:rPr>
          <w:rFonts w:ascii="Calibri" w:hAnsi="Calibri" w:cs="Calibri"/>
          <w:noProof/>
        </w:rPr>
        <w:drawing>
          <wp:inline distT="0" distB="0" distL="0" distR="0" wp14:anchorId="159D627F" wp14:editId="79DEE603">
            <wp:extent cx="5373415" cy="3252486"/>
            <wp:effectExtent l="0" t="0" r="0" b="0"/>
            <wp:docPr id="309409721" name="Image 14" descr="Une image contenant texte, capture d’écran, nombre,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09721" name="Image 14" descr="Une image contenant texte, capture d’écran, nombre, reçu&#10;&#10;Le contenu généré par l’IA peut être incorrec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33416" cy="3288804"/>
                    </a:xfrm>
                    <a:prstGeom prst="rect">
                      <a:avLst/>
                    </a:prstGeom>
                  </pic:spPr>
                </pic:pic>
              </a:graphicData>
            </a:graphic>
          </wp:inline>
        </w:drawing>
      </w:r>
      <w:r>
        <w:rPr>
          <w:rFonts w:ascii="Calibri" w:hAnsi="Calibri" w:cs="Calibri"/>
          <w:noProof/>
        </w:rPr>
        <w:drawing>
          <wp:inline distT="0" distB="0" distL="0" distR="0" wp14:anchorId="392DE3AD" wp14:editId="08066F0C">
            <wp:extent cx="4872942" cy="1561813"/>
            <wp:effectExtent l="0" t="0" r="4445" b="635"/>
            <wp:docPr id="112041420" name="Image 15" descr="Une image contenant texte, algèbre,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41420" name="Image 15" descr="Une image contenant texte, algèbre, reçu&#10;&#10;Le contenu généré par l’IA peut êtr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905398" cy="1572215"/>
                    </a:xfrm>
                    <a:prstGeom prst="rect">
                      <a:avLst/>
                    </a:prstGeom>
                  </pic:spPr>
                </pic:pic>
              </a:graphicData>
            </a:graphic>
          </wp:inline>
        </w:drawing>
      </w:r>
      <w:r>
        <w:rPr>
          <w:rFonts w:ascii="Calibri" w:hAnsi="Calibri" w:cs="Calibri"/>
          <w:noProof/>
        </w:rPr>
        <w:lastRenderedPageBreak/>
        <w:drawing>
          <wp:inline distT="0" distB="0" distL="0" distR="0" wp14:anchorId="07E7448E" wp14:editId="622A337F">
            <wp:extent cx="4999990" cy="2845088"/>
            <wp:effectExtent l="0" t="0" r="3810" b="0"/>
            <wp:docPr id="425196756" name="Image 16"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96756" name="Image 16" descr="Une image contenant texte, capture d’écran, nombre, Police&#10;&#10;Le contenu généré par l’IA peut êtr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14130" cy="2853134"/>
                    </a:xfrm>
                    <a:prstGeom prst="rect">
                      <a:avLst/>
                    </a:prstGeom>
                  </pic:spPr>
                </pic:pic>
              </a:graphicData>
            </a:graphic>
          </wp:inline>
        </w:drawing>
      </w:r>
      <w:r>
        <w:rPr>
          <w:rFonts w:ascii="Calibri" w:hAnsi="Calibri" w:cs="Calibri"/>
          <w:noProof/>
        </w:rPr>
        <w:drawing>
          <wp:inline distT="0" distB="0" distL="0" distR="0" wp14:anchorId="293BC5E7" wp14:editId="63D0F3EA">
            <wp:extent cx="4999990" cy="3170887"/>
            <wp:effectExtent l="0" t="0" r="3810" b="4445"/>
            <wp:docPr id="1485256909" name="Image 17" descr="Une image contenant text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56909" name="Image 17" descr="Une image contenant texte, capture d’écran, algèbre&#10;&#10;Le contenu généré par l’IA peut êtr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018562" cy="3182665"/>
                    </a:xfrm>
                    <a:prstGeom prst="rect">
                      <a:avLst/>
                    </a:prstGeom>
                  </pic:spPr>
                </pic:pic>
              </a:graphicData>
            </a:graphic>
          </wp:inline>
        </w:drawing>
      </w:r>
      <w:r>
        <w:rPr>
          <w:rFonts w:ascii="Calibri" w:hAnsi="Calibri" w:cs="Calibri"/>
          <w:noProof/>
        </w:rPr>
        <w:lastRenderedPageBreak/>
        <w:drawing>
          <wp:inline distT="0" distB="0" distL="0" distR="0" wp14:anchorId="7628FD65" wp14:editId="0058A57A">
            <wp:extent cx="5000264" cy="3076789"/>
            <wp:effectExtent l="0" t="0" r="3810" b="0"/>
            <wp:docPr id="1686295146" name="Image 18" descr="Une image contenant texte, capture d’écran, reç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95146" name="Image 18" descr="Une image contenant texte, capture d’écran, reçu&#10;&#10;Le contenu généré par l’IA peut êtr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10968" cy="3083375"/>
                    </a:xfrm>
                    <a:prstGeom prst="rect">
                      <a:avLst/>
                    </a:prstGeom>
                  </pic:spPr>
                </pic:pic>
              </a:graphicData>
            </a:graphic>
          </wp:inline>
        </w:drawing>
      </w:r>
      <w:r>
        <w:rPr>
          <w:rFonts w:ascii="Calibri" w:hAnsi="Calibri" w:cs="Calibri"/>
          <w:noProof/>
        </w:rPr>
        <w:drawing>
          <wp:inline distT="0" distB="0" distL="0" distR="0" wp14:anchorId="401AF07B" wp14:editId="6522BA79">
            <wp:extent cx="5759450" cy="1609725"/>
            <wp:effectExtent l="0" t="0" r="6350" b="3175"/>
            <wp:docPr id="213846278" name="Image 19" descr="Une image contenant texte, capture d’écran, reçu,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46278" name="Image 19" descr="Une image contenant texte, capture d’écran, reçu, algèbre&#10;&#10;Le contenu généré par l’IA peut êtr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59450" cy="1609725"/>
                    </a:xfrm>
                    <a:prstGeom prst="rect">
                      <a:avLst/>
                    </a:prstGeom>
                  </pic:spPr>
                </pic:pic>
              </a:graphicData>
            </a:graphic>
          </wp:inline>
        </w:drawing>
      </w:r>
    </w:p>
    <w:p w14:paraId="5EEFF407" w14:textId="77777777" w:rsidR="004C1EAA" w:rsidRDefault="004C1EAA" w:rsidP="0011289B">
      <w:pPr>
        <w:spacing w:line="360" w:lineRule="auto"/>
        <w:jc w:val="both"/>
        <w:rPr>
          <w:rFonts w:ascii="Calibri" w:hAnsi="Calibri" w:cs="Calibri"/>
        </w:rPr>
      </w:pPr>
    </w:p>
    <w:p w14:paraId="4A162F79" w14:textId="77777777" w:rsidR="004C1EAA" w:rsidRDefault="004C1EAA" w:rsidP="0011289B">
      <w:pPr>
        <w:spacing w:line="360" w:lineRule="auto"/>
        <w:jc w:val="both"/>
        <w:rPr>
          <w:rFonts w:ascii="Calibri" w:hAnsi="Calibri" w:cs="Calibri"/>
        </w:rPr>
      </w:pPr>
    </w:p>
    <w:p w14:paraId="73E12AED" w14:textId="77777777" w:rsidR="004C1EAA" w:rsidRDefault="004C1EAA" w:rsidP="0011289B">
      <w:pPr>
        <w:spacing w:line="360" w:lineRule="auto"/>
        <w:jc w:val="both"/>
        <w:rPr>
          <w:rFonts w:ascii="Calibri" w:hAnsi="Calibri" w:cs="Calibri"/>
        </w:rPr>
      </w:pPr>
    </w:p>
    <w:p w14:paraId="11AE472D" w14:textId="77777777" w:rsidR="004C1EAA" w:rsidRDefault="004C1EAA" w:rsidP="0011289B">
      <w:pPr>
        <w:spacing w:line="360" w:lineRule="auto"/>
        <w:jc w:val="both"/>
        <w:rPr>
          <w:rFonts w:ascii="Calibri" w:hAnsi="Calibri" w:cs="Calibri"/>
        </w:rPr>
      </w:pPr>
    </w:p>
    <w:p w14:paraId="0D1B90CC" w14:textId="77777777" w:rsidR="004C1EAA" w:rsidRDefault="004C1EAA" w:rsidP="0011289B">
      <w:pPr>
        <w:spacing w:line="360" w:lineRule="auto"/>
        <w:jc w:val="both"/>
        <w:rPr>
          <w:rFonts w:ascii="Calibri" w:hAnsi="Calibri" w:cs="Calibri"/>
        </w:rPr>
      </w:pPr>
    </w:p>
    <w:p w14:paraId="2B4C9354" w14:textId="77777777" w:rsidR="004C1EAA" w:rsidRDefault="004C1EAA" w:rsidP="0011289B">
      <w:pPr>
        <w:spacing w:line="360" w:lineRule="auto"/>
        <w:jc w:val="both"/>
        <w:rPr>
          <w:rFonts w:ascii="Calibri" w:hAnsi="Calibri" w:cs="Calibri"/>
        </w:rPr>
      </w:pPr>
    </w:p>
    <w:p w14:paraId="6B14F159" w14:textId="77777777" w:rsidR="004C1EAA" w:rsidRDefault="004C1EAA" w:rsidP="0011289B">
      <w:pPr>
        <w:spacing w:line="360" w:lineRule="auto"/>
        <w:jc w:val="both"/>
        <w:rPr>
          <w:rFonts w:ascii="Calibri" w:hAnsi="Calibri" w:cs="Calibri"/>
        </w:rPr>
      </w:pPr>
    </w:p>
    <w:p w14:paraId="407A1E16" w14:textId="77777777" w:rsidR="004C1EAA" w:rsidRDefault="004C1EAA" w:rsidP="0011289B">
      <w:pPr>
        <w:spacing w:line="360" w:lineRule="auto"/>
        <w:jc w:val="both"/>
        <w:rPr>
          <w:rFonts w:ascii="Calibri" w:hAnsi="Calibri" w:cs="Calibri"/>
        </w:rPr>
      </w:pPr>
    </w:p>
    <w:p w14:paraId="6EC164A8" w14:textId="77777777" w:rsidR="00050EC6" w:rsidRDefault="00050EC6" w:rsidP="001C18E0">
      <w:pPr>
        <w:spacing w:line="360" w:lineRule="auto"/>
        <w:jc w:val="both"/>
        <w:rPr>
          <w:rFonts w:ascii="Calibri" w:hAnsi="Calibri" w:cs="Calibri"/>
          <w:lang w:val="en-US"/>
        </w:rPr>
      </w:pPr>
    </w:p>
    <w:p w14:paraId="0653C8CB" w14:textId="7888250E" w:rsidR="004C6B60" w:rsidRPr="00052574" w:rsidRDefault="004C6B60" w:rsidP="001C18E0">
      <w:pPr>
        <w:pStyle w:val="Titre1"/>
        <w:numPr>
          <w:ilvl w:val="0"/>
          <w:numId w:val="0"/>
        </w:numPr>
        <w:spacing w:line="360" w:lineRule="auto"/>
        <w:jc w:val="both"/>
        <w:rPr>
          <w:lang w:val="en-US"/>
        </w:rPr>
      </w:pPr>
    </w:p>
    <w:p w14:paraId="7AFFC3C6" w14:textId="4225E9D2" w:rsidR="00012B73" w:rsidRPr="00052574" w:rsidRDefault="00052574" w:rsidP="001C18E0">
      <w:pPr>
        <w:spacing w:line="360" w:lineRule="auto"/>
        <w:jc w:val="both"/>
        <w:rPr>
          <w:lang w:val="en-US"/>
        </w:rPr>
      </w:pPr>
      <w:r>
        <w:fldChar w:fldCharType="begin"/>
      </w:r>
      <w:r>
        <w:instrText xml:space="preserve"> INCLUDEPICTURE "/Users/tchoupsss/Library/Group Containers/UBF8T346G9.ms/WebArchiveCopyPasteTempFiles/com.microsoft.Word/zad00509-2794-t01.jpg" \* MERGEFORMATINET </w:instrText>
      </w:r>
      <w:r>
        <w:fldChar w:fldCharType="separate"/>
      </w:r>
      <w:r>
        <w:fldChar w:fldCharType="end"/>
      </w:r>
    </w:p>
    <w:sectPr w:rsidR="00012B73" w:rsidRPr="00052574" w:rsidSect="00B5382A">
      <w:headerReference w:type="default" r:id="rId53"/>
      <w:pgSz w:w="11906" w:h="16838"/>
      <w:pgMar w:top="1418" w:right="1418" w:bottom="1418" w:left="1418"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25376" w14:textId="77777777" w:rsidR="007F6D62" w:rsidRDefault="007F6D62" w:rsidP="00AC0074">
      <w:pPr>
        <w:spacing w:after="0" w:line="240" w:lineRule="auto"/>
      </w:pPr>
      <w:r>
        <w:separator/>
      </w:r>
    </w:p>
  </w:endnote>
  <w:endnote w:type="continuationSeparator" w:id="0">
    <w:p w14:paraId="49D09E59" w14:textId="77777777" w:rsidR="007F6D62" w:rsidRDefault="007F6D62" w:rsidP="00AC0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176115646"/>
      <w:docPartObj>
        <w:docPartGallery w:val="Page Numbers (Bottom of Page)"/>
        <w:docPartUnique/>
      </w:docPartObj>
    </w:sdtPr>
    <w:sdtContent>
      <w:p w14:paraId="30CCE65E" w14:textId="21D3FF3A" w:rsidR="004C1EAA" w:rsidRDefault="004C1EAA" w:rsidP="00290E9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6D354CB6" w14:textId="77777777" w:rsidR="004C1EAA" w:rsidRDefault="004C1EAA" w:rsidP="004C1EA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0B9C" w14:textId="77777777" w:rsidR="002E6897" w:rsidRDefault="002E6897">
    <w:pPr>
      <w:pStyle w:val="Pieddepage"/>
      <w:jc w:val="right"/>
    </w:pPr>
  </w:p>
  <w:p w14:paraId="3F0B4E91" w14:textId="77777777" w:rsidR="002E6897" w:rsidRDefault="002E689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32697290"/>
      <w:docPartObj>
        <w:docPartGallery w:val="Page Numbers (Bottom of Page)"/>
        <w:docPartUnique/>
      </w:docPartObj>
    </w:sdtPr>
    <w:sdtContent>
      <w:p w14:paraId="19857E48" w14:textId="5A4F75FE" w:rsidR="004C1EAA" w:rsidRDefault="004C1EAA" w:rsidP="00290E9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XL</w:t>
        </w:r>
        <w:r>
          <w:rPr>
            <w:rStyle w:val="Numrodepage"/>
          </w:rPr>
          <w:fldChar w:fldCharType="end"/>
        </w:r>
      </w:p>
    </w:sdtContent>
  </w:sdt>
  <w:p w14:paraId="1D0E5E56" w14:textId="1D740764" w:rsidR="00BE685A" w:rsidRDefault="00BE685A" w:rsidP="004C1EAA">
    <w:pPr>
      <w:pStyle w:val="Pieddepage"/>
      <w:ind w:right="360"/>
      <w:jc w:val="right"/>
    </w:pPr>
  </w:p>
  <w:p w14:paraId="4B45D7FE" w14:textId="77777777" w:rsidR="00BE685A" w:rsidRDefault="00BE68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0FC3B" w14:textId="77777777" w:rsidR="007F6D62" w:rsidRDefault="007F6D62" w:rsidP="00AC0074">
      <w:pPr>
        <w:spacing w:after="0" w:line="240" w:lineRule="auto"/>
      </w:pPr>
      <w:r>
        <w:separator/>
      </w:r>
    </w:p>
  </w:footnote>
  <w:footnote w:type="continuationSeparator" w:id="0">
    <w:p w14:paraId="7D14D342" w14:textId="77777777" w:rsidR="007F6D62" w:rsidRDefault="007F6D62" w:rsidP="00AC0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243B" w14:textId="77777777" w:rsidR="00A9759E" w:rsidRDefault="00A9759E" w:rsidP="00A9759E">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A702" w14:textId="77777777" w:rsidR="00BE685A" w:rsidRDefault="00BE685A" w:rsidP="00A9759E">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FCF8" w14:textId="77777777" w:rsidR="00B5382A" w:rsidRDefault="00B5382A" w:rsidP="00A9759E">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15775"/>
    <w:multiLevelType w:val="multilevel"/>
    <w:tmpl w:val="B984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65443"/>
    <w:multiLevelType w:val="multilevel"/>
    <w:tmpl w:val="88BA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D25B2"/>
    <w:multiLevelType w:val="multilevel"/>
    <w:tmpl w:val="A482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B39B2"/>
    <w:multiLevelType w:val="hybridMultilevel"/>
    <w:tmpl w:val="49407E52"/>
    <w:lvl w:ilvl="0" w:tplc="B13CD18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9546E5"/>
    <w:multiLevelType w:val="multilevel"/>
    <w:tmpl w:val="FC36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726485"/>
    <w:multiLevelType w:val="multilevel"/>
    <w:tmpl w:val="31DE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46969"/>
    <w:multiLevelType w:val="multilevel"/>
    <w:tmpl w:val="5BA0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16243"/>
    <w:multiLevelType w:val="multilevel"/>
    <w:tmpl w:val="E858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66309B"/>
    <w:multiLevelType w:val="multilevel"/>
    <w:tmpl w:val="5EAC5B0C"/>
    <w:lvl w:ilvl="0">
      <w:start w:val="1"/>
      <w:numFmt w:val="decimal"/>
      <w:pStyle w:val="Titre1"/>
      <w:lvlText w:val="%1."/>
      <w:lvlJc w:val="left"/>
      <w:pPr>
        <w:ind w:left="397" w:hanging="397"/>
      </w:pPr>
    </w:lvl>
    <w:lvl w:ilvl="1">
      <w:start w:val="1"/>
      <w:numFmt w:val="decimal"/>
      <w:pStyle w:val="Titre2"/>
      <w:lvlText w:val="%1.%2."/>
      <w:lvlJc w:val="left"/>
      <w:pPr>
        <w:ind w:left="851" w:hanging="567"/>
      </w:pPr>
      <w:rPr>
        <w:rFonts w:hint="default"/>
      </w:rPr>
    </w:lvl>
    <w:lvl w:ilvl="2">
      <w:start w:val="1"/>
      <w:numFmt w:val="decimal"/>
      <w:pStyle w:val="Titre3"/>
      <w:lvlText w:val="%1.%2.%3."/>
      <w:lvlJc w:val="left"/>
      <w:pPr>
        <w:ind w:left="397" w:firstLine="227"/>
      </w:pPr>
      <w:rPr>
        <w:rFonts w:hint="default"/>
      </w:rPr>
    </w:lvl>
    <w:lvl w:ilvl="3">
      <w:start w:val="1"/>
      <w:numFmt w:val="decimal"/>
      <w:pStyle w:val="Titre4"/>
      <w:lvlText w:val="%1.%2.%3.%4."/>
      <w:lvlJc w:val="left"/>
      <w:pPr>
        <w:ind w:left="2438" w:hanging="1020"/>
      </w:pPr>
      <w:rPr>
        <w:rFonts w:hint="default"/>
      </w:rPr>
    </w:lvl>
    <w:lvl w:ilvl="4">
      <w:start w:val="1"/>
      <w:numFmt w:val="lowerLetter"/>
      <w:lvlText w:val="%5."/>
      <w:lvlJc w:val="left"/>
      <w:pPr>
        <w:ind w:left="2438" w:hanging="397"/>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9" w15:restartNumberingAfterBreak="0">
    <w:nsid w:val="42D10080"/>
    <w:multiLevelType w:val="multilevel"/>
    <w:tmpl w:val="A126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EA059A"/>
    <w:multiLevelType w:val="multilevel"/>
    <w:tmpl w:val="28D28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B60DF2"/>
    <w:multiLevelType w:val="hybridMultilevel"/>
    <w:tmpl w:val="35382752"/>
    <w:lvl w:ilvl="0" w:tplc="B35C4DD4">
      <w:start w:val="1"/>
      <w:numFmt w:val="bullet"/>
      <w:lvlText w:val="-"/>
      <w:lvlJc w:val="left"/>
      <w:pPr>
        <w:ind w:left="1044" w:hanging="360"/>
      </w:pPr>
      <w:rPr>
        <w:rFonts w:ascii="Calibri" w:eastAsiaTheme="minorHAnsi" w:hAnsi="Calibri" w:cs="Calibri" w:hint="default"/>
      </w:rPr>
    </w:lvl>
    <w:lvl w:ilvl="1" w:tplc="040C0003" w:tentative="1">
      <w:start w:val="1"/>
      <w:numFmt w:val="bullet"/>
      <w:lvlText w:val="o"/>
      <w:lvlJc w:val="left"/>
      <w:pPr>
        <w:ind w:left="1764" w:hanging="360"/>
      </w:pPr>
      <w:rPr>
        <w:rFonts w:ascii="Courier New" w:hAnsi="Courier New" w:hint="default"/>
      </w:rPr>
    </w:lvl>
    <w:lvl w:ilvl="2" w:tplc="040C0005" w:tentative="1">
      <w:start w:val="1"/>
      <w:numFmt w:val="bullet"/>
      <w:lvlText w:val=""/>
      <w:lvlJc w:val="left"/>
      <w:pPr>
        <w:ind w:left="2484" w:hanging="360"/>
      </w:pPr>
      <w:rPr>
        <w:rFonts w:ascii="Wingdings" w:hAnsi="Wingdings" w:hint="default"/>
      </w:rPr>
    </w:lvl>
    <w:lvl w:ilvl="3" w:tplc="040C0001" w:tentative="1">
      <w:start w:val="1"/>
      <w:numFmt w:val="bullet"/>
      <w:lvlText w:val=""/>
      <w:lvlJc w:val="left"/>
      <w:pPr>
        <w:ind w:left="3204" w:hanging="360"/>
      </w:pPr>
      <w:rPr>
        <w:rFonts w:ascii="Symbol" w:hAnsi="Symbol" w:hint="default"/>
      </w:rPr>
    </w:lvl>
    <w:lvl w:ilvl="4" w:tplc="040C0003" w:tentative="1">
      <w:start w:val="1"/>
      <w:numFmt w:val="bullet"/>
      <w:lvlText w:val="o"/>
      <w:lvlJc w:val="left"/>
      <w:pPr>
        <w:ind w:left="3924" w:hanging="360"/>
      </w:pPr>
      <w:rPr>
        <w:rFonts w:ascii="Courier New" w:hAnsi="Courier New" w:hint="default"/>
      </w:rPr>
    </w:lvl>
    <w:lvl w:ilvl="5" w:tplc="040C0005" w:tentative="1">
      <w:start w:val="1"/>
      <w:numFmt w:val="bullet"/>
      <w:lvlText w:val=""/>
      <w:lvlJc w:val="left"/>
      <w:pPr>
        <w:ind w:left="4644" w:hanging="360"/>
      </w:pPr>
      <w:rPr>
        <w:rFonts w:ascii="Wingdings" w:hAnsi="Wingdings" w:hint="default"/>
      </w:rPr>
    </w:lvl>
    <w:lvl w:ilvl="6" w:tplc="040C0001" w:tentative="1">
      <w:start w:val="1"/>
      <w:numFmt w:val="bullet"/>
      <w:lvlText w:val=""/>
      <w:lvlJc w:val="left"/>
      <w:pPr>
        <w:ind w:left="5364" w:hanging="360"/>
      </w:pPr>
      <w:rPr>
        <w:rFonts w:ascii="Symbol" w:hAnsi="Symbol" w:hint="default"/>
      </w:rPr>
    </w:lvl>
    <w:lvl w:ilvl="7" w:tplc="040C0003" w:tentative="1">
      <w:start w:val="1"/>
      <w:numFmt w:val="bullet"/>
      <w:lvlText w:val="o"/>
      <w:lvlJc w:val="left"/>
      <w:pPr>
        <w:ind w:left="6084" w:hanging="360"/>
      </w:pPr>
      <w:rPr>
        <w:rFonts w:ascii="Courier New" w:hAnsi="Courier New" w:hint="default"/>
      </w:rPr>
    </w:lvl>
    <w:lvl w:ilvl="8" w:tplc="040C0005" w:tentative="1">
      <w:start w:val="1"/>
      <w:numFmt w:val="bullet"/>
      <w:lvlText w:val=""/>
      <w:lvlJc w:val="left"/>
      <w:pPr>
        <w:ind w:left="6804" w:hanging="360"/>
      </w:pPr>
      <w:rPr>
        <w:rFonts w:ascii="Wingdings" w:hAnsi="Wingdings" w:hint="default"/>
      </w:rPr>
    </w:lvl>
  </w:abstractNum>
  <w:abstractNum w:abstractNumId="12" w15:restartNumberingAfterBreak="0">
    <w:nsid w:val="4B343E5A"/>
    <w:multiLevelType w:val="multilevel"/>
    <w:tmpl w:val="E6E80D98"/>
    <w:lvl w:ilvl="0">
      <w:start w:val="1"/>
      <w:numFmt w:val="decimal"/>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8"/>
        </w:tabs>
        <w:ind w:left="1134" w:hanging="964"/>
      </w:pPr>
      <w:rPr>
        <w:rFonts w:hint="default"/>
      </w:rPr>
    </w:lvl>
    <w:lvl w:ilvl="2">
      <w:start w:val="1"/>
      <w:numFmt w:val="decimal"/>
      <w:lvlText w:val="%1.%2.%3."/>
      <w:lvlJc w:val="left"/>
      <w:pPr>
        <w:ind w:left="567" w:firstLine="57"/>
      </w:pPr>
      <w:rPr>
        <w:rFonts w:hint="default"/>
      </w:rPr>
    </w:lvl>
    <w:lvl w:ilvl="3">
      <w:start w:val="1"/>
      <w:numFmt w:val="decimal"/>
      <w:lvlText w:val="%1.%2.%3.%4."/>
      <w:lvlJc w:val="left"/>
      <w:pPr>
        <w:ind w:left="113" w:firstLine="102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BD85ED0"/>
    <w:multiLevelType w:val="multilevel"/>
    <w:tmpl w:val="1E2C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A4712F"/>
    <w:multiLevelType w:val="multilevel"/>
    <w:tmpl w:val="AB06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7E0250"/>
    <w:multiLevelType w:val="multilevel"/>
    <w:tmpl w:val="EB06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7160D"/>
    <w:multiLevelType w:val="hybridMultilevel"/>
    <w:tmpl w:val="A7284596"/>
    <w:lvl w:ilvl="0" w:tplc="3A9CD298">
      <w:start w:val="16"/>
      <w:numFmt w:val="bullet"/>
      <w:lvlText w:val="-"/>
      <w:lvlJc w:val="left"/>
      <w:pPr>
        <w:ind w:left="1060" w:hanging="360"/>
      </w:pPr>
      <w:rPr>
        <w:rFonts w:ascii="Calibri" w:eastAsiaTheme="minorHAnsi" w:hAnsi="Calibri" w:cs="Calibr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7" w15:restartNumberingAfterBreak="0">
    <w:nsid w:val="59030845"/>
    <w:multiLevelType w:val="multilevel"/>
    <w:tmpl w:val="59BE36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CAC03E7"/>
    <w:multiLevelType w:val="hybridMultilevel"/>
    <w:tmpl w:val="38DE16FC"/>
    <w:lvl w:ilvl="0" w:tplc="B03C998C">
      <w:start w:val="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404781"/>
    <w:multiLevelType w:val="multilevel"/>
    <w:tmpl w:val="C6E8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6F2B14"/>
    <w:multiLevelType w:val="multilevel"/>
    <w:tmpl w:val="D4D0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C4848"/>
    <w:multiLevelType w:val="hybridMultilevel"/>
    <w:tmpl w:val="2BB055EC"/>
    <w:lvl w:ilvl="0" w:tplc="B96855BA">
      <w:start w:val="1"/>
      <w:numFmt w:val="decimal"/>
      <w:lvlText w:val="%1)"/>
      <w:lvlJc w:val="left"/>
      <w:pPr>
        <w:ind w:left="720" w:hanging="360"/>
      </w:pPr>
      <w:rPr>
        <w:rFonts w:asciiTheme="minorHAnsi" w:eastAsiaTheme="minorHAnsi" w:hAnsiTheme="minorHAnsi" w:cstheme="minorBidi"/>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E44BD2"/>
    <w:multiLevelType w:val="multilevel"/>
    <w:tmpl w:val="E678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3E2D19"/>
    <w:multiLevelType w:val="multilevel"/>
    <w:tmpl w:val="99EC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CD0944"/>
    <w:multiLevelType w:val="hybridMultilevel"/>
    <w:tmpl w:val="2F86B61C"/>
    <w:lvl w:ilvl="0" w:tplc="E19473C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648D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FCF7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7A755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DE9B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4255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9612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FE62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EC0A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FF94E2D"/>
    <w:multiLevelType w:val="multilevel"/>
    <w:tmpl w:val="9896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2154633">
    <w:abstractNumId w:val="8"/>
  </w:num>
  <w:num w:numId="2" w16cid:durableId="1901673678">
    <w:abstractNumId w:val="8"/>
  </w:num>
  <w:num w:numId="3" w16cid:durableId="2062244561">
    <w:abstractNumId w:val="8"/>
  </w:num>
  <w:num w:numId="4" w16cid:durableId="1787770639">
    <w:abstractNumId w:val="24"/>
  </w:num>
  <w:num w:numId="5" w16cid:durableId="740584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4924492">
    <w:abstractNumId w:val="8"/>
  </w:num>
  <w:num w:numId="7" w16cid:durableId="139001861">
    <w:abstractNumId w:val="12"/>
  </w:num>
  <w:num w:numId="8" w16cid:durableId="803353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8458892">
    <w:abstractNumId w:val="17"/>
  </w:num>
  <w:num w:numId="10" w16cid:durableId="1551652247">
    <w:abstractNumId w:val="11"/>
  </w:num>
  <w:num w:numId="11" w16cid:durableId="1183320181">
    <w:abstractNumId w:val="16"/>
  </w:num>
  <w:num w:numId="12" w16cid:durableId="269968195">
    <w:abstractNumId w:val="18"/>
  </w:num>
  <w:num w:numId="13" w16cid:durableId="1995528687">
    <w:abstractNumId w:val="21"/>
  </w:num>
  <w:num w:numId="14" w16cid:durableId="16734482">
    <w:abstractNumId w:val="3"/>
  </w:num>
  <w:num w:numId="15" w16cid:durableId="1227838664">
    <w:abstractNumId w:val="1"/>
  </w:num>
  <w:num w:numId="16" w16cid:durableId="1544948528">
    <w:abstractNumId w:val="0"/>
  </w:num>
  <w:num w:numId="17" w16cid:durableId="1491289119">
    <w:abstractNumId w:val="20"/>
  </w:num>
  <w:num w:numId="18" w16cid:durableId="589049193">
    <w:abstractNumId w:val="4"/>
  </w:num>
  <w:num w:numId="19" w16cid:durableId="1415516209">
    <w:abstractNumId w:val="7"/>
  </w:num>
  <w:num w:numId="20" w16cid:durableId="342172677">
    <w:abstractNumId w:val="13"/>
  </w:num>
  <w:num w:numId="21" w16cid:durableId="1905482717">
    <w:abstractNumId w:val="19"/>
  </w:num>
  <w:num w:numId="22" w16cid:durableId="1963596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953773">
    <w:abstractNumId w:val="2"/>
  </w:num>
  <w:num w:numId="24" w16cid:durableId="4711689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04957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0180464">
    <w:abstractNumId w:val="9"/>
  </w:num>
  <w:num w:numId="27" w16cid:durableId="1559825361">
    <w:abstractNumId w:val="6"/>
  </w:num>
  <w:num w:numId="28" w16cid:durableId="813907293">
    <w:abstractNumId w:val="25"/>
  </w:num>
  <w:num w:numId="29" w16cid:durableId="674304756">
    <w:abstractNumId w:val="22"/>
  </w:num>
  <w:num w:numId="30" w16cid:durableId="824786775">
    <w:abstractNumId w:val="15"/>
  </w:num>
  <w:num w:numId="31" w16cid:durableId="1676036001">
    <w:abstractNumId w:val="5"/>
  </w:num>
  <w:num w:numId="32" w16cid:durableId="3364279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972599">
    <w:abstractNumId w:val="10"/>
  </w:num>
  <w:num w:numId="34" w16cid:durableId="1533566081">
    <w:abstractNumId w:val="23"/>
  </w:num>
  <w:num w:numId="35" w16cid:durableId="1075510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074"/>
    <w:rsid w:val="00010CF6"/>
    <w:rsid w:val="00012B73"/>
    <w:rsid w:val="00015700"/>
    <w:rsid w:val="00026F1C"/>
    <w:rsid w:val="0003687E"/>
    <w:rsid w:val="000373BC"/>
    <w:rsid w:val="0005097B"/>
    <w:rsid w:val="00050EC6"/>
    <w:rsid w:val="000519C5"/>
    <w:rsid w:val="00052574"/>
    <w:rsid w:val="00055574"/>
    <w:rsid w:val="00056B52"/>
    <w:rsid w:val="00076839"/>
    <w:rsid w:val="000813CA"/>
    <w:rsid w:val="00097061"/>
    <w:rsid w:val="000A342F"/>
    <w:rsid w:val="000A4F30"/>
    <w:rsid w:val="000B0279"/>
    <w:rsid w:val="000B365C"/>
    <w:rsid w:val="000B3A70"/>
    <w:rsid w:val="000C4365"/>
    <w:rsid w:val="0010752E"/>
    <w:rsid w:val="00107BE6"/>
    <w:rsid w:val="00111CAC"/>
    <w:rsid w:val="0011289B"/>
    <w:rsid w:val="00120EFB"/>
    <w:rsid w:val="00126CF1"/>
    <w:rsid w:val="001437DB"/>
    <w:rsid w:val="00151454"/>
    <w:rsid w:val="00173015"/>
    <w:rsid w:val="0017604F"/>
    <w:rsid w:val="00190359"/>
    <w:rsid w:val="001A48E1"/>
    <w:rsid w:val="001B62E6"/>
    <w:rsid w:val="001C02FF"/>
    <w:rsid w:val="001C05E5"/>
    <w:rsid w:val="001C18E0"/>
    <w:rsid w:val="001C1AA4"/>
    <w:rsid w:val="001E201A"/>
    <w:rsid w:val="00207558"/>
    <w:rsid w:val="00214BE3"/>
    <w:rsid w:val="0022331A"/>
    <w:rsid w:val="00250E81"/>
    <w:rsid w:val="00260D87"/>
    <w:rsid w:val="00262A82"/>
    <w:rsid w:val="00263011"/>
    <w:rsid w:val="0026687D"/>
    <w:rsid w:val="00271111"/>
    <w:rsid w:val="00272E3D"/>
    <w:rsid w:val="00276BE6"/>
    <w:rsid w:val="00291D0F"/>
    <w:rsid w:val="00295C98"/>
    <w:rsid w:val="002972E6"/>
    <w:rsid w:val="002A2769"/>
    <w:rsid w:val="002A2DC9"/>
    <w:rsid w:val="002A4B15"/>
    <w:rsid w:val="002A6CC3"/>
    <w:rsid w:val="002B3C08"/>
    <w:rsid w:val="002C1261"/>
    <w:rsid w:val="002C351D"/>
    <w:rsid w:val="002C477A"/>
    <w:rsid w:val="002D1A39"/>
    <w:rsid w:val="002E030F"/>
    <w:rsid w:val="002E3E7A"/>
    <w:rsid w:val="002E4A85"/>
    <w:rsid w:val="002E5F24"/>
    <w:rsid w:val="002E6897"/>
    <w:rsid w:val="002F0F1C"/>
    <w:rsid w:val="002F2D7A"/>
    <w:rsid w:val="002F3694"/>
    <w:rsid w:val="003039F5"/>
    <w:rsid w:val="003065D4"/>
    <w:rsid w:val="00312330"/>
    <w:rsid w:val="003170C9"/>
    <w:rsid w:val="0032154D"/>
    <w:rsid w:val="00335268"/>
    <w:rsid w:val="003371E7"/>
    <w:rsid w:val="003462EB"/>
    <w:rsid w:val="003471F6"/>
    <w:rsid w:val="003554ED"/>
    <w:rsid w:val="0036138C"/>
    <w:rsid w:val="003670A8"/>
    <w:rsid w:val="00370635"/>
    <w:rsid w:val="00372F40"/>
    <w:rsid w:val="003746B4"/>
    <w:rsid w:val="00375188"/>
    <w:rsid w:val="00391858"/>
    <w:rsid w:val="00396AAF"/>
    <w:rsid w:val="003977AC"/>
    <w:rsid w:val="003B65E2"/>
    <w:rsid w:val="003B7C07"/>
    <w:rsid w:val="003C1607"/>
    <w:rsid w:val="003C486B"/>
    <w:rsid w:val="003D4967"/>
    <w:rsid w:val="003D6554"/>
    <w:rsid w:val="003E597C"/>
    <w:rsid w:val="003F00B7"/>
    <w:rsid w:val="003F3D15"/>
    <w:rsid w:val="003F71B4"/>
    <w:rsid w:val="004005F8"/>
    <w:rsid w:val="00401753"/>
    <w:rsid w:val="00401885"/>
    <w:rsid w:val="004018AD"/>
    <w:rsid w:val="004049FE"/>
    <w:rsid w:val="004130C1"/>
    <w:rsid w:val="00414E3F"/>
    <w:rsid w:val="00414F55"/>
    <w:rsid w:val="00417080"/>
    <w:rsid w:val="00436F79"/>
    <w:rsid w:val="004538E6"/>
    <w:rsid w:val="004830D4"/>
    <w:rsid w:val="00494803"/>
    <w:rsid w:val="004B01D7"/>
    <w:rsid w:val="004C1EAA"/>
    <w:rsid w:val="004C3BC1"/>
    <w:rsid w:val="004C6B60"/>
    <w:rsid w:val="004D1FDA"/>
    <w:rsid w:val="004E0E4E"/>
    <w:rsid w:val="004E1703"/>
    <w:rsid w:val="004F5B75"/>
    <w:rsid w:val="00501388"/>
    <w:rsid w:val="00526F86"/>
    <w:rsid w:val="005277A4"/>
    <w:rsid w:val="005335FB"/>
    <w:rsid w:val="0053420F"/>
    <w:rsid w:val="00544AF7"/>
    <w:rsid w:val="0054762C"/>
    <w:rsid w:val="00552C04"/>
    <w:rsid w:val="00587310"/>
    <w:rsid w:val="0059198E"/>
    <w:rsid w:val="00596423"/>
    <w:rsid w:val="00596D90"/>
    <w:rsid w:val="005B3740"/>
    <w:rsid w:val="005C0BE0"/>
    <w:rsid w:val="005E159F"/>
    <w:rsid w:val="005E2DC6"/>
    <w:rsid w:val="005E7571"/>
    <w:rsid w:val="005F1C34"/>
    <w:rsid w:val="005F211B"/>
    <w:rsid w:val="00601B45"/>
    <w:rsid w:val="006043E9"/>
    <w:rsid w:val="006048BE"/>
    <w:rsid w:val="00611881"/>
    <w:rsid w:val="00633CE4"/>
    <w:rsid w:val="006349F9"/>
    <w:rsid w:val="0063518F"/>
    <w:rsid w:val="006370FF"/>
    <w:rsid w:val="00642C4C"/>
    <w:rsid w:val="006504F6"/>
    <w:rsid w:val="00664A41"/>
    <w:rsid w:val="006719F9"/>
    <w:rsid w:val="00674D4F"/>
    <w:rsid w:val="006905CE"/>
    <w:rsid w:val="006A52DE"/>
    <w:rsid w:val="006B142C"/>
    <w:rsid w:val="006B2AE6"/>
    <w:rsid w:val="006B3083"/>
    <w:rsid w:val="006B5C70"/>
    <w:rsid w:val="006C58BB"/>
    <w:rsid w:val="006C5E27"/>
    <w:rsid w:val="006E1C58"/>
    <w:rsid w:val="006E1E3A"/>
    <w:rsid w:val="006E2442"/>
    <w:rsid w:val="006F22DC"/>
    <w:rsid w:val="006F6C6C"/>
    <w:rsid w:val="00701476"/>
    <w:rsid w:val="00703B5F"/>
    <w:rsid w:val="00704B1C"/>
    <w:rsid w:val="0071467D"/>
    <w:rsid w:val="00715422"/>
    <w:rsid w:val="00717E4D"/>
    <w:rsid w:val="00726760"/>
    <w:rsid w:val="0074278E"/>
    <w:rsid w:val="00747753"/>
    <w:rsid w:val="00752DC3"/>
    <w:rsid w:val="007547E8"/>
    <w:rsid w:val="00760694"/>
    <w:rsid w:val="007613D4"/>
    <w:rsid w:val="0076140F"/>
    <w:rsid w:val="00766FF7"/>
    <w:rsid w:val="00770EFB"/>
    <w:rsid w:val="00786CDD"/>
    <w:rsid w:val="00790565"/>
    <w:rsid w:val="007A0B44"/>
    <w:rsid w:val="007A58D9"/>
    <w:rsid w:val="007A614A"/>
    <w:rsid w:val="007C4789"/>
    <w:rsid w:val="007D27EF"/>
    <w:rsid w:val="007E34A8"/>
    <w:rsid w:val="007F1BD7"/>
    <w:rsid w:val="007F6D62"/>
    <w:rsid w:val="00800677"/>
    <w:rsid w:val="00801059"/>
    <w:rsid w:val="00802680"/>
    <w:rsid w:val="0081514C"/>
    <w:rsid w:val="00821A0B"/>
    <w:rsid w:val="0082256B"/>
    <w:rsid w:val="00835C49"/>
    <w:rsid w:val="008544E3"/>
    <w:rsid w:val="00860684"/>
    <w:rsid w:val="008713FA"/>
    <w:rsid w:val="0087173D"/>
    <w:rsid w:val="00875BC8"/>
    <w:rsid w:val="00881236"/>
    <w:rsid w:val="00885349"/>
    <w:rsid w:val="00885A10"/>
    <w:rsid w:val="00896B66"/>
    <w:rsid w:val="008A11C1"/>
    <w:rsid w:val="008A286E"/>
    <w:rsid w:val="008A57AE"/>
    <w:rsid w:val="008B40CE"/>
    <w:rsid w:val="008C100D"/>
    <w:rsid w:val="008D25DC"/>
    <w:rsid w:val="008D277B"/>
    <w:rsid w:val="008D6D90"/>
    <w:rsid w:val="008E0722"/>
    <w:rsid w:val="008E1D78"/>
    <w:rsid w:val="008E50F2"/>
    <w:rsid w:val="008E78CB"/>
    <w:rsid w:val="008F5C0C"/>
    <w:rsid w:val="008F740A"/>
    <w:rsid w:val="008F74AF"/>
    <w:rsid w:val="008F79EE"/>
    <w:rsid w:val="0090429E"/>
    <w:rsid w:val="009321C6"/>
    <w:rsid w:val="00937DAA"/>
    <w:rsid w:val="00940C36"/>
    <w:rsid w:val="009522F4"/>
    <w:rsid w:val="00962C41"/>
    <w:rsid w:val="00965395"/>
    <w:rsid w:val="00965B3C"/>
    <w:rsid w:val="009702D6"/>
    <w:rsid w:val="00976425"/>
    <w:rsid w:val="00983D9E"/>
    <w:rsid w:val="0098697E"/>
    <w:rsid w:val="0099540F"/>
    <w:rsid w:val="00996F93"/>
    <w:rsid w:val="0099713F"/>
    <w:rsid w:val="009A0468"/>
    <w:rsid w:val="009A43B3"/>
    <w:rsid w:val="009A6B27"/>
    <w:rsid w:val="009B07D3"/>
    <w:rsid w:val="009B6F92"/>
    <w:rsid w:val="009C3212"/>
    <w:rsid w:val="009D144A"/>
    <w:rsid w:val="009D58C3"/>
    <w:rsid w:val="009D6F1A"/>
    <w:rsid w:val="009D7350"/>
    <w:rsid w:val="009F0245"/>
    <w:rsid w:val="00A01A45"/>
    <w:rsid w:val="00A02C56"/>
    <w:rsid w:val="00A05952"/>
    <w:rsid w:val="00A17C97"/>
    <w:rsid w:val="00A17CF4"/>
    <w:rsid w:val="00A206B8"/>
    <w:rsid w:val="00A258A3"/>
    <w:rsid w:val="00A25A36"/>
    <w:rsid w:val="00A37121"/>
    <w:rsid w:val="00A54A41"/>
    <w:rsid w:val="00A65C98"/>
    <w:rsid w:val="00A71C11"/>
    <w:rsid w:val="00A71F43"/>
    <w:rsid w:val="00A73644"/>
    <w:rsid w:val="00A77212"/>
    <w:rsid w:val="00A81D64"/>
    <w:rsid w:val="00A916A7"/>
    <w:rsid w:val="00A9759E"/>
    <w:rsid w:val="00AA1CFF"/>
    <w:rsid w:val="00AC0074"/>
    <w:rsid w:val="00AC0A5A"/>
    <w:rsid w:val="00AD1EF7"/>
    <w:rsid w:val="00AE7882"/>
    <w:rsid w:val="00AF0846"/>
    <w:rsid w:val="00B0318E"/>
    <w:rsid w:val="00B13EEE"/>
    <w:rsid w:val="00B1610F"/>
    <w:rsid w:val="00B2621C"/>
    <w:rsid w:val="00B262B7"/>
    <w:rsid w:val="00B5382A"/>
    <w:rsid w:val="00B62AF6"/>
    <w:rsid w:val="00B65EA2"/>
    <w:rsid w:val="00B67C55"/>
    <w:rsid w:val="00B71428"/>
    <w:rsid w:val="00B76155"/>
    <w:rsid w:val="00B9042A"/>
    <w:rsid w:val="00B93EA8"/>
    <w:rsid w:val="00BA1D56"/>
    <w:rsid w:val="00BA4F98"/>
    <w:rsid w:val="00BB0DD5"/>
    <w:rsid w:val="00BB47CF"/>
    <w:rsid w:val="00BB58F8"/>
    <w:rsid w:val="00BB6694"/>
    <w:rsid w:val="00BC5B07"/>
    <w:rsid w:val="00BE685A"/>
    <w:rsid w:val="00BF14CD"/>
    <w:rsid w:val="00BF3EA6"/>
    <w:rsid w:val="00BF40C9"/>
    <w:rsid w:val="00C0462A"/>
    <w:rsid w:val="00C16EC5"/>
    <w:rsid w:val="00C2125F"/>
    <w:rsid w:val="00C226C3"/>
    <w:rsid w:val="00C24EE6"/>
    <w:rsid w:val="00C418CA"/>
    <w:rsid w:val="00C47A59"/>
    <w:rsid w:val="00C561A9"/>
    <w:rsid w:val="00C77CE2"/>
    <w:rsid w:val="00C81D2B"/>
    <w:rsid w:val="00C8327F"/>
    <w:rsid w:val="00C83823"/>
    <w:rsid w:val="00C90E85"/>
    <w:rsid w:val="00C91EAF"/>
    <w:rsid w:val="00C94722"/>
    <w:rsid w:val="00C961CC"/>
    <w:rsid w:val="00CB16BD"/>
    <w:rsid w:val="00CB2914"/>
    <w:rsid w:val="00CB6B07"/>
    <w:rsid w:val="00CC0749"/>
    <w:rsid w:val="00CD0954"/>
    <w:rsid w:val="00CF068B"/>
    <w:rsid w:val="00CF76AF"/>
    <w:rsid w:val="00CF7F86"/>
    <w:rsid w:val="00D025AA"/>
    <w:rsid w:val="00D13C2D"/>
    <w:rsid w:val="00D14EC4"/>
    <w:rsid w:val="00D27E0A"/>
    <w:rsid w:val="00D36183"/>
    <w:rsid w:val="00D403D9"/>
    <w:rsid w:val="00D42005"/>
    <w:rsid w:val="00D44013"/>
    <w:rsid w:val="00D4570C"/>
    <w:rsid w:val="00D56F89"/>
    <w:rsid w:val="00D57BEC"/>
    <w:rsid w:val="00D727DB"/>
    <w:rsid w:val="00D73FFF"/>
    <w:rsid w:val="00D873D2"/>
    <w:rsid w:val="00D87C43"/>
    <w:rsid w:val="00DA0C8D"/>
    <w:rsid w:val="00DA63AA"/>
    <w:rsid w:val="00DB1243"/>
    <w:rsid w:val="00DD4916"/>
    <w:rsid w:val="00DD7881"/>
    <w:rsid w:val="00DE2F22"/>
    <w:rsid w:val="00DE49EB"/>
    <w:rsid w:val="00DF0663"/>
    <w:rsid w:val="00E029DB"/>
    <w:rsid w:val="00E02F04"/>
    <w:rsid w:val="00E0427F"/>
    <w:rsid w:val="00E04782"/>
    <w:rsid w:val="00E072F8"/>
    <w:rsid w:val="00E073E4"/>
    <w:rsid w:val="00E07E43"/>
    <w:rsid w:val="00E10BC8"/>
    <w:rsid w:val="00E10C9E"/>
    <w:rsid w:val="00E149AD"/>
    <w:rsid w:val="00E176CB"/>
    <w:rsid w:val="00E2740C"/>
    <w:rsid w:val="00E30293"/>
    <w:rsid w:val="00E35486"/>
    <w:rsid w:val="00E426C4"/>
    <w:rsid w:val="00E454FD"/>
    <w:rsid w:val="00E528FB"/>
    <w:rsid w:val="00E63D77"/>
    <w:rsid w:val="00E6630F"/>
    <w:rsid w:val="00E7198E"/>
    <w:rsid w:val="00E73A88"/>
    <w:rsid w:val="00E94B06"/>
    <w:rsid w:val="00E9612C"/>
    <w:rsid w:val="00EA4C92"/>
    <w:rsid w:val="00EA7F12"/>
    <w:rsid w:val="00EB0550"/>
    <w:rsid w:val="00ED44FA"/>
    <w:rsid w:val="00ED68DE"/>
    <w:rsid w:val="00EE2312"/>
    <w:rsid w:val="00EE2D07"/>
    <w:rsid w:val="00EF7AA4"/>
    <w:rsid w:val="00F045FC"/>
    <w:rsid w:val="00F0491E"/>
    <w:rsid w:val="00F12BCC"/>
    <w:rsid w:val="00F35F00"/>
    <w:rsid w:val="00F41006"/>
    <w:rsid w:val="00F41427"/>
    <w:rsid w:val="00F46E8C"/>
    <w:rsid w:val="00F54E85"/>
    <w:rsid w:val="00F56A40"/>
    <w:rsid w:val="00F857DB"/>
    <w:rsid w:val="00F93D52"/>
    <w:rsid w:val="00FA2EAD"/>
    <w:rsid w:val="00FA3AF5"/>
    <w:rsid w:val="00FA419F"/>
    <w:rsid w:val="00FB2E3C"/>
    <w:rsid w:val="00FC618F"/>
    <w:rsid w:val="00FC6808"/>
    <w:rsid w:val="00FD36B0"/>
    <w:rsid w:val="00FE4624"/>
    <w:rsid w:val="00FE5245"/>
    <w:rsid w:val="00FE52AD"/>
    <w:rsid w:val="00FE54E7"/>
    <w:rsid w:val="00FE7DD3"/>
    <w:rsid w:val="00FF6B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4A823"/>
  <w15:docId w15:val="{74E96966-8B80-42EF-A549-BCAF69FD2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F"/>
  </w:style>
  <w:style w:type="paragraph" w:styleId="Titre1">
    <w:name w:val="heading 1"/>
    <w:basedOn w:val="Titre2"/>
    <w:next w:val="Normal"/>
    <w:link w:val="Titre1Car"/>
    <w:uiPriority w:val="9"/>
    <w:qFormat/>
    <w:rsid w:val="00544AF7"/>
    <w:pPr>
      <w:numPr>
        <w:ilvl w:val="0"/>
      </w:numPr>
      <w:outlineLvl w:val="0"/>
    </w:pPr>
    <w:rPr>
      <w:sz w:val="28"/>
    </w:rPr>
  </w:style>
  <w:style w:type="paragraph" w:styleId="Titre2">
    <w:name w:val="heading 2"/>
    <w:basedOn w:val="Normal"/>
    <w:next w:val="Normal"/>
    <w:link w:val="Titre2Car"/>
    <w:uiPriority w:val="9"/>
    <w:unhideWhenUsed/>
    <w:qFormat/>
    <w:rsid w:val="00544AF7"/>
    <w:pPr>
      <w:keepNext/>
      <w:keepLines/>
      <w:numPr>
        <w:ilvl w:val="1"/>
        <w:numId w:val="6"/>
      </w:numPr>
      <w:spacing w:before="40" w:after="0"/>
      <w:outlineLvl w:val="1"/>
    </w:pPr>
    <w:rPr>
      <w:rFonts w:eastAsiaTheme="majorEastAsia" w:cs="Arial"/>
      <w:b/>
      <w:sz w:val="26"/>
      <w:szCs w:val="26"/>
    </w:rPr>
  </w:style>
  <w:style w:type="paragraph" w:styleId="Titre3">
    <w:name w:val="heading 3"/>
    <w:basedOn w:val="Titre2"/>
    <w:next w:val="Normal"/>
    <w:link w:val="Titre3Car"/>
    <w:uiPriority w:val="9"/>
    <w:unhideWhenUsed/>
    <w:qFormat/>
    <w:rsid w:val="002E6897"/>
    <w:pPr>
      <w:numPr>
        <w:ilvl w:val="2"/>
      </w:numPr>
      <w:outlineLvl w:val="2"/>
    </w:pPr>
  </w:style>
  <w:style w:type="paragraph" w:styleId="Titre4">
    <w:name w:val="heading 4"/>
    <w:basedOn w:val="Titre3"/>
    <w:next w:val="Normal"/>
    <w:link w:val="Titre4Car"/>
    <w:uiPriority w:val="9"/>
    <w:unhideWhenUsed/>
    <w:qFormat/>
    <w:rsid w:val="002E6897"/>
    <w:pPr>
      <w:numPr>
        <w:ilvl w:val="3"/>
      </w:numPr>
      <w:outlineLvl w:val="3"/>
    </w:pPr>
  </w:style>
  <w:style w:type="paragraph" w:styleId="Titre5">
    <w:name w:val="heading 5"/>
    <w:basedOn w:val="Normal"/>
    <w:next w:val="Normal"/>
    <w:link w:val="Titre5Car"/>
    <w:uiPriority w:val="9"/>
    <w:unhideWhenUsed/>
    <w:qFormat/>
    <w:rsid w:val="00DE2F22"/>
    <w:pPr>
      <w:keepNext/>
      <w:keepLines/>
      <w:spacing w:before="40" w:after="0"/>
      <w:outlineLvl w:val="4"/>
    </w:pPr>
    <w:rPr>
      <w:rFonts w:ascii="Times New Roman" w:eastAsiaTheme="majorEastAsia" w:hAnsi="Times New Roman" w:cstheme="majorBidi"/>
      <w:b/>
    </w:rPr>
  </w:style>
  <w:style w:type="paragraph" w:styleId="Titre6">
    <w:name w:val="heading 6"/>
    <w:basedOn w:val="Normal"/>
    <w:next w:val="Normal"/>
    <w:link w:val="Titre6Car"/>
    <w:uiPriority w:val="9"/>
    <w:semiHidden/>
    <w:unhideWhenUsed/>
    <w:qFormat/>
    <w:rsid w:val="002E6897"/>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2E6897"/>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2E6897"/>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E689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C0074"/>
    <w:pPr>
      <w:ind w:left="720"/>
      <w:contextualSpacing/>
    </w:pPr>
  </w:style>
  <w:style w:type="character" w:customStyle="1" w:styleId="Titre1Car">
    <w:name w:val="Titre 1 Car"/>
    <w:basedOn w:val="Policepardfaut"/>
    <w:link w:val="Titre1"/>
    <w:uiPriority w:val="9"/>
    <w:rsid w:val="00544AF7"/>
    <w:rPr>
      <w:rFonts w:eastAsiaTheme="majorEastAsia" w:cs="Arial"/>
      <w:b/>
      <w:sz w:val="28"/>
      <w:szCs w:val="26"/>
    </w:rPr>
  </w:style>
  <w:style w:type="paragraph" w:styleId="En-ttedetabledesmatires">
    <w:name w:val="TOC Heading"/>
    <w:basedOn w:val="Titre1"/>
    <w:next w:val="Normal"/>
    <w:uiPriority w:val="39"/>
    <w:unhideWhenUsed/>
    <w:qFormat/>
    <w:rsid w:val="00AC0074"/>
    <w:pPr>
      <w:outlineLvl w:val="9"/>
    </w:pPr>
    <w:rPr>
      <w:lang w:eastAsia="fr-FR"/>
    </w:rPr>
  </w:style>
  <w:style w:type="paragraph" w:styleId="En-tte">
    <w:name w:val="header"/>
    <w:basedOn w:val="Normal"/>
    <w:link w:val="En-tteCar"/>
    <w:uiPriority w:val="99"/>
    <w:unhideWhenUsed/>
    <w:rsid w:val="00AC0074"/>
    <w:pPr>
      <w:tabs>
        <w:tab w:val="center" w:pos="4536"/>
        <w:tab w:val="right" w:pos="9072"/>
      </w:tabs>
      <w:spacing w:after="0" w:line="240" w:lineRule="auto"/>
    </w:pPr>
  </w:style>
  <w:style w:type="character" w:customStyle="1" w:styleId="En-tteCar">
    <w:name w:val="En-tête Car"/>
    <w:basedOn w:val="Policepardfaut"/>
    <w:link w:val="En-tte"/>
    <w:uiPriority w:val="99"/>
    <w:rsid w:val="00AC0074"/>
  </w:style>
  <w:style w:type="paragraph" w:styleId="Pieddepage">
    <w:name w:val="footer"/>
    <w:basedOn w:val="Normal"/>
    <w:link w:val="PieddepageCar"/>
    <w:uiPriority w:val="99"/>
    <w:unhideWhenUsed/>
    <w:rsid w:val="00AC00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0074"/>
  </w:style>
  <w:style w:type="character" w:customStyle="1" w:styleId="Titre2Car">
    <w:name w:val="Titre 2 Car"/>
    <w:basedOn w:val="Policepardfaut"/>
    <w:link w:val="Titre2"/>
    <w:uiPriority w:val="9"/>
    <w:rsid w:val="00544AF7"/>
    <w:rPr>
      <w:rFonts w:eastAsiaTheme="majorEastAsia" w:cs="Arial"/>
      <w:b/>
      <w:sz w:val="26"/>
      <w:szCs w:val="26"/>
    </w:rPr>
  </w:style>
  <w:style w:type="character" w:customStyle="1" w:styleId="Titre3Car">
    <w:name w:val="Titre 3 Car"/>
    <w:basedOn w:val="Policepardfaut"/>
    <w:link w:val="Titre3"/>
    <w:uiPriority w:val="9"/>
    <w:rsid w:val="002E6897"/>
    <w:rPr>
      <w:rFonts w:ascii="Arial" w:eastAsiaTheme="majorEastAsia" w:hAnsi="Arial" w:cs="Arial"/>
      <w:sz w:val="26"/>
      <w:szCs w:val="26"/>
    </w:rPr>
  </w:style>
  <w:style w:type="character" w:customStyle="1" w:styleId="Titre4Car">
    <w:name w:val="Titre 4 Car"/>
    <w:basedOn w:val="Policepardfaut"/>
    <w:link w:val="Titre4"/>
    <w:uiPriority w:val="9"/>
    <w:rsid w:val="002E6897"/>
    <w:rPr>
      <w:rFonts w:ascii="Arial" w:eastAsiaTheme="majorEastAsia" w:hAnsi="Arial" w:cs="Arial"/>
      <w:sz w:val="26"/>
      <w:szCs w:val="26"/>
    </w:rPr>
  </w:style>
  <w:style w:type="character" w:customStyle="1" w:styleId="Titre5Car">
    <w:name w:val="Titre 5 Car"/>
    <w:basedOn w:val="Policepardfaut"/>
    <w:link w:val="Titre5"/>
    <w:uiPriority w:val="9"/>
    <w:rsid w:val="00DE2F22"/>
    <w:rPr>
      <w:rFonts w:ascii="Times New Roman" w:eastAsiaTheme="majorEastAsia" w:hAnsi="Times New Roman" w:cstheme="majorBidi"/>
      <w:b/>
    </w:rPr>
  </w:style>
  <w:style w:type="character" w:customStyle="1" w:styleId="Titre6Car">
    <w:name w:val="Titre 6 Car"/>
    <w:basedOn w:val="Policepardfaut"/>
    <w:link w:val="Titre6"/>
    <w:uiPriority w:val="9"/>
    <w:semiHidden/>
    <w:rsid w:val="002E6897"/>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2E6897"/>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2E689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2E6897"/>
    <w:rPr>
      <w:rFonts w:asciiTheme="majorHAnsi" w:eastAsiaTheme="majorEastAsia" w:hAnsiTheme="majorHAnsi" w:cstheme="majorBidi"/>
      <w:i/>
      <w:iCs/>
      <w:color w:val="272727" w:themeColor="text1" w:themeTint="D8"/>
      <w:sz w:val="21"/>
      <w:szCs w:val="21"/>
    </w:rPr>
  </w:style>
  <w:style w:type="paragraph" w:styleId="TM1">
    <w:name w:val="toc 1"/>
    <w:basedOn w:val="Normal"/>
    <w:next w:val="Normal"/>
    <w:autoRedefine/>
    <w:uiPriority w:val="39"/>
    <w:unhideWhenUsed/>
    <w:rsid w:val="004C1EAA"/>
    <w:pPr>
      <w:tabs>
        <w:tab w:val="right" w:leader="dot" w:pos="9060"/>
      </w:tabs>
      <w:spacing w:after="100"/>
    </w:pPr>
  </w:style>
  <w:style w:type="paragraph" w:styleId="TM2">
    <w:name w:val="toc 2"/>
    <w:basedOn w:val="Normal"/>
    <w:next w:val="Normal"/>
    <w:autoRedefine/>
    <w:uiPriority w:val="39"/>
    <w:unhideWhenUsed/>
    <w:rsid w:val="002E6897"/>
    <w:pPr>
      <w:spacing w:after="100"/>
      <w:ind w:left="220"/>
    </w:pPr>
  </w:style>
  <w:style w:type="paragraph" w:styleId="TM3">
    <w:name w:val="toc 3"/>
    <w:basedOn w:val="Normal"/>
    <w:next w:val="Normal"/>
    <w:autoRedefine/>
    <w:uiPriority w:val="39"/>
    <w:unhideWhenUsed/>
    <w:rsid w:val="002E6897"/>
    <w:pPr>
      <w:spacing w:after="100"/>
      <w:ind w:left="440"/>
    </w:pPr>
  </w:style>
  <w:style w:type="paragraph" w:styleId="TM4">
    <w:name w:val="toc 4"/>
    <w:basedOn w:val="Normal"/>
    <w:next w:val="Normal"/>
    <w:autoRedefine/>
    <w:uiPriority w:val="39"/>
    <w:unhideWhenUsed/>
    <w:rsid w:val="002E6897"/>
    <w:pPr>
      <w:spacing w:after="100"/>
      <w:ind w:left="660"/>
    </w:pPr>
  </w:style>
  <w:style w:type="character" w:styleId="Lienhypertexte">
    <w:name w:val="Hyperlink"/>
    <w:basedOn w:val="Policepardfaut"/>
    <w:uiPriority w:val="99"/>
    <w:unhideWhenUsed/>
    <w:rsid w:val="002E6897"/>
    <w:rPr>
      <w:color w:val="0563C1" w:themeColor="hyperlink"/>
      <w:u w:val="single"/>
    </w:rPr>
  </w:style>
  <w:style w:type="paragraph" w:styleId="Sansinterligne">
    <w:name w:val="No Spacing"/>
    <w:aliases w:val="Annexe"/>
    <w:uiPriority w:val="1"/>
    <w:qFormat/>
    <w:rsid w:val="00587310"/>
    <w:pPr>
      <w:spacing w:after="0" w:line="360" w:lineRule="auto"/>
    </w:pPr>
    <w:rPr>
      <w:b/>
      <w:sz w:val="28"/>
    </w:rPr>
  </w:style>
  <w:style w:type="character" w:customStyle="1" w:styleId="Lienhypertexte1">
    <w:name w:val="Lien hypertexte1"/>
    <w:basedOn w:val="Policepardfaut"/>
    <w:uiPriority w:val="99"/>
    <w:unhideWhenUsed/>
    <w:rsid w:val="00BE685A"/>
    <w:rPr>
      <w:color w:val="0000FF"/>
      <w:u w:val="single"/>
    </w:rPr>
  </w:style>
  <w:style w:type="paragraph" w:styleId="Textedebulles">
    <w:name w:val="Balloon Text"/>
    <w:basedOn w:val="Normal"/>
    <w:link w:val="TextedebullesCar"/>
    <w:uiPriority w:val="99"/>
    <w:semiHidden/>
    <w:unhideWhenUsed/>
    <w:rsid w:val="009A6B2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6B27"/>
    <w:rPr>
      <w:rFonts w:ascii="Tahoma" w:hAnsi="Tahoma" w:cs="Tahoma"/>
      <w:sz w:val="16"/>
      <w:szCs w:val="16"/>
    </w:rPr>
  </w:style>
  <w:style w:type="character" w:styleId="Lienhypertextesuivivisit">
    <w:name w:val="FollowedHyperlink"/>
    <w:basedOn w:val="Policepardfaut"/>
    <w:uiPriority w:val="99"/>
    <w:semiHidden/>
    <w:unhideWhenUsed/>
    <w:rsid w:val="00CF068B"/>
    <w:rPr>
      <w:color w:val="954F72" w:themeColor="followedHyperlink"/>
      <w:u w:val="single"/>
    </w:rPr>
  </w:style>
  <w:style w:type="paragraph" w:styleId="Tabledesillustrations">
    <w:name w:val="table of figures"/>
    <w:basedOn w:val="Normal"/>
    <w:next w:val="Normal"/>
    <w:uiPriority w:val="99"/>
    <w:unhideWhenUsed/>
    <w:rsid w:val="00050EC6"/>
    <w:pPr>
      <w:spacing w:after="0"/>
    </w:pPr>
  </w:style>
  <w:style w:type="paragraph" w:styleId="NormalWeb">
    <w:name w:val="Normal (Web)"/>
    <w:basedOn w:val="Normal"/>
    <w:uiPriority w:val="99"/>
    <w:unhideWhenUsed/>
    <w:rsid w:val="00056B5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010CF6"/>
  </w:style>
  <w:style w:type="character" w:styleId="lev">
    <w:name w:val="Strong"/>
    <w:basedOn w:val="Policepardfaut"/>
    <w:uiPriority w:val="22"/>
    <w:qFormat/>
    <w:rsid w:val="00010CF6"/>
    <w:rPr>
      <w:b/>
      <w:bCs/>
    </w:rPr>
  </w:style>
  <w:style w:type="character" w:customStyle="1" w:styleId="citation-2132">
    <w:name w:val="citation-2132"/>
    <w:basedOn w:val="Policepardfaut"/>
    <w:rsid w:val="00E029DB"/>
  </w:style>
  <w:style w:type="character" w:customStyle="1" w:styleId="citation-2131">
    <w:name w:val="citation-2131"/>
    <w:basedOn w:val="Policepardfaut"/>
    <w:rsid w:val="00E029DB"/>
  </w:style>
  <w:style w:type="character" w:customStyle="1" w:styleId="citation-2130">
    <w:name w:val="citation-2130"/>
    <w:basedOn w:val="Policepardfaut"/>
    <w:rsid w:val="00E029DB"/>
  </w:style>
  <w:style w:type="character" w:customStyle="1" w:styleId="citation-2129">
    <w:name w:val="citation-2129"/>
    <w:basedOn w:val="Policepardfaut"/>
    <w:rsid w:val="00E029DB"/>
  </w:style>
  <w:style w:type="paragraph" w:styleId="Lgende">
    <w:name w:val="caption"/>
    <w:basedOn w:val="Normal"/>
    <w:next w:val="Normal"/>
    <w:uiPriority w:val="35"/>
    <w:unhideWhenUsed/>
    <w:qFormat/>
    <w:rsid w:val="003D6554"/>
    <w:pPr>
      <w:spacing w:after="200" w:line="240" w:lineRule="auto"/>
    </w:pPr>
    <w:rPr>
      <w:i/>
      <w:iCs/>
      <w:color w:val="44546A" w:themeColor="text2"/>
      <w:sz w:val="18"/>
      <w:szCs w:val="18"/>
    </w:rPr>
  </w:style>
  <w:style w:type="table" w:styleId="Grilledutableau">
    <w:name w:val="Table Grid"/>
    <w:basedOn w:val="TableauNormal"/>
    <w:uiPriority w:val="39"/>
    <w:rsid w:val="00790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4018AD"/>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
    <w:name w:val="Grid Table 1 Light"/>
    <w:basedOn w:val="TableauNormal"/>
    <w:uiPriority w:val="46"/>
    <w:rsid w:val="004018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simple5">
    <w:name w:val="Plain Table 5"/>
    <w:basedOn w:val="TableauNormal"/>
    <w:uiPriority w:val="45"/>
    <w:rsid w:val="004018A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44"/>
    <w:rsid w:val="004018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4018A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2">
    <w:name w:val="Plain Table 2"/>
    <w:basedOn w:val="TableauNormal"/>
    <w:uiPriority w:val="42"/>
    <w:rsid w:val="004018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lledetableauclaire">
    <w:name w:val="Grid Table Light"/>
    <w:basedOn w:val="TableauNormal"/>
    <w:uiPriority w:val="40"/>
    <w:rsid w:val="004018A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itation-160">
    <w:name w:val="citation-160"/>
    <w:basedOn w:val="Policepardfaut"/>
    <w:rsid w:val="003D4967"/>
  </w:style>
  <w:style w:type="character" w:customStyle="1" w:styleId="citation-159">
    <w:name w:val="citation-159"/>
    <w:basedOn w:val="Policepardfaut"/>
    <w:rsid w:val="003D4967"/>
  </w:style>
  <w:style w:type="character" w:customStyle="1" w:styleId="citation-158">
    <w:name w:val="citation-158"/>
    <w:basedOn w:val="Policepardfaut"/>
    <w:rsid w:val="003D4967"/>
  </w:style>
  <w:style w:type="character" w:customStyle="1" w:styleId="citation-157">
    <w:name w:val="citation-157"/>
    <w:basedOn w:val="Policepardfaut"/>
    <w:rsid w:val="003D4967"/>
  </w:style>
  <w:style w:type="character" w:customStyle="1" w:styleId="citation-156">
    <w:name w:val="citation-156"/>
    <w:basedOn w:val="Policepardfaut"/>
    <w:rsid w:val="003D4967"/>
  </w:style>
  <w:style w:type="character" w:customStyle="1" w:styleId="citation-155">
    <w:name w:val="citation-155"/>
    <w:basedOn w:val="Policepardfaut"/>
    <w:rsid w:val="003D4967"/>
  </w:style>
  <w:style w:type="character" w:customStyle="1" w:styleId="citation-154">
    <w:name w:val="citation-154"/>
    <w:basedOn w:val="Policepardfaut"/>
    <w:rsid w:val="003D4967"/>
  </w:style>
  <w:style w:type="character" w:customStyle="1" w:styleId="citation-153">
    <w:name w:val="citation-153"/>
    <w:basedOn w:val="Policepardfaut"/>
    <w:rsid w:val="003D4967"/>
  </w:style>
  <w:style w:type="character" w:customStyle="1" w:styleId="citation-152">
    <w:name w:val="citation-152"/>
    <w:basedOn w:val="Policepardfaut"/>
    <w:rsid w:val="003D4967"/>
  </w:style>
  <w:style w:type="character" w:customStyle="1" w:styleId="citation-151">
    <w:name w:val="citation-151"/>
    <w:basedOn w:val="Policepardfaut"/>
    <w:rsid w:val="003D4967"/>
  </w:style>
  <w:style w:type="character" w:customStyle="1" w:styleId="citation-150">
    <w:name w:val="citation-150"/>
    <w:basedOn w:val="Policepardfaut"/>
    <w:rsid w:val="003D4967"/>
  </w:style>
  <w:style w:type="character" w:customStyle="1" w:styleId="citation-149">
    <w:name w:val="citation-149"/>
    <w:basedOn w:val="Policepardfaut"/>
    <w:rsid w:val="003D4967"/>
  </w:style>
  <w:style w:type="character" w:customStyle="1" w:styleId="citation-148">
    <w:name w:val="citation-148"/>
    <w:basedOn w:val="Policepardfaut"/>
    <w:rsid w:val="003D4967"/>
  </w:style>
  <w:style w:type="character" w:customStyle="1" w:styleId="citation-147">
    <w:name w:val="citation-147"/>
    <w:basedOn w:val="Policepardfaut"/>
    <w:rsid w:val="003D4967"/>
  </w:style>
  <w:style w:type="character" w:customStyle="1" w:styleId="citation-146">
    <w:name w:val="citation-146"/>
    <w:basedOn w:val="Policepardfaut"/>
    <w:rsid w:val="003D4967"/>
  </w:style>
  <w:style w:type="character" w:customStyle="1" w:styleId="citation-145">
    <w:name w:val="citation-145"/>
    <w:basedOn w:val="Policepardfaut"/>
    <w:rsid w:val="003D4967"/>
  </w:style>
  <w:style w:type="character" w:customStyle="1" w:styleId="citation-144">
    <w:name w:val="citation-144"/>
    <w:basedOn w:val="Policepardfaut"/>
    <w:rsid w:val="003D4967"/>
  </w:style>
  <w:style w:type="character" w:customStyle="1" w:styleId="citation-143">
    <w:name w:val="citation-143"/>
    <w:basedOn w:val="Policepardfaut"/>
    <w:rsid w:val="003D4967"/>
  </w:style>
  <w:style w:type="character" w:customStyle="1" w:styleId="citation-142">
    <w:name w:val="citation-142"/>
    <w:basedOn w:val="Policepardfaut"/>
    <w:rsid w:val="003D4967"/>
  </w:style>
  <w:style w:type="character" w:customStyle="1" w:styleId="citation-141">
    <w:name w:val="citation-141"/>
    <w:basedOn w:val="Policepardfaut"/>
    <w:rsid w:val="003D4967"/>
  </w:style>
  <w:style w:type="character" w:customStyle="1" w:styleId="citation-140">
    <w:name w:val="citation-140"/>
    <w:basedOn w:val="Policepardfaut"/>
    <w:rsid w:val="003D4967"/>
  </w:style>
  <w:style w:type="character" w:customStyle="1" w:styleId="citation-139">
    <w:name w:val="citation-139"/>
    <w:basedOn w:val="Policepardfaut"/>
    <w:rsid w:val="003D4967"/>
  </w:style>
  <w:style w:type="character" w:customStyle="1" w:styleId="citation-138">
    <w:name w:val="citation-138"/>
    <w:basedOn w:val="Policepardfaut"/>
    <w:rsid w:val="003D4967"/>
  </w:style>
  <w:style w:type="character" w:customStyle="1" w:styleId="citation-137">
    <w:name w:val="citation-137"/>
    <w:basedOn w:val="Policepardfaut"/>
    <w:rsid w:val="003D4967"/>
  </w:style>
  <w:style w:type="character" w:customStyle="1" w:styleId="citation-136">
    <w:name w:val="citation-136"/>
    <w:basedOn w:val="Policepardfaut"/>
    <w:rsid w:val="003D4967"/>
  </w:style>
  <w:style w:type="character" w:customStyle="1" w:styleId="citation-135">
    <w:name w:val="citation-135"/>
    <w:basedOn w:val="Policepardfaut"/>
    <w:rsid w:val="003D4967"/>
  </w:style>
  <w:style w:type="character" w:customStyle="1" w:styleId="citation-134">
    <w:name w:val="citation-134"/>
    <w:basedOn w:val="Policepardfaut"/>
    <w:rsid w:val="003D4967"/>
  </w:style>
  <w:style w:type="character" w:customStyle="1" w:styleId="citation-133">
    <w:name w:val="citation-133"/>
    <w:basedOn w:val="Policepardfaut"/>
    <w:rsid w:val="003D4967"/>
  </w:style>
  <w:style w:type="character" w:customStyle="1" w:styleId="citation-132">
    <w:name w:val="citation-132"/>
    <w:basedOn w:val="Policepardfaut"/>
    <w:rsid w:val="003D4967"/>
  </w:style>
  <w:style w:type="character" w:customStyle="1" w:styleId="citation-131">
    <w:name w:val="citation-131"/>
    <w:basedOn w:val="Policepardfaut"/>
    <w:rsid w:val="003D4967"/>
  </w:style>
  <w:style w:type="character" w:customStyle="1" w:styleId="citation-130">
    <w:name w:val="citation-130"/>
    <w:basedOn w:val="Policepardfaut"/>
    <w:rsid w:val="003D4967"/>
  </w:style>
  <w:style w:type="character" w:customStyle="1" w:styleId="citation-129">
    <w:name w:val="citation-129"/>
    <w:basedOn w:val="Policepardfaut"/>
    <w:rsid w:val="003D4967"/>
  </w:style>
  <w:style w:type="character" w:customStyle="1" w:styleId="citation-128">
    <w:name w:val="citation-128"/>
    <w:basedOn w:val="Policepardfaut"/>
    <w:rsid w:val="003D4967"/>
  </w:style>
  <w:style w:type="character" w:customStyle="1" w:styleId="citation-127">
    <w:name w:val="citation-127"/>
    <w:basedOn w:val="Policepardfaut"/>
    <w:rsid w:val="003D4967"/>
  </w:style>
  <w:style w:type="character" w:customStyle="1" w:styleId="citation-126">
    <w:name w:val="citation-126"/>
    <w:basedOn w:val="Policepardfaut"/>
    <w:rsid w:val="003D4967"/>
  </w:style>
  <w:style w:type="character" w:customStyle="1" w:styleId="citation-125">
    <w:name w:val="citation-125"/>
    <w:basedOn w:val="Policepardfaut"/>
    <w:rsid w:val="003D4967"/>
  </w:style>
  <w:style w:type="character" w:customStyle="1" w:styleId="citation-124">
    <w:name w:val="citation-124"/>
    <w:basedOn w:val="Policepardfaut"/>
    <w:rsid w:val="003D4967"/>
  </w:style>
  <w:style w:type="character" w:customStyle="1" w:styleId="citation-123">
    <w:name w:val="citation-123"/>
    <w:basedOn w:val="Policepardfaut"/>
    <w:rsid w:val="003D4967"/>
  </w:style>
  <w:style w:type="character" w:customStyle="1" w:styleId="citation-122">
    <w:name w:val="citation-122"/>
    <w:basedOn w:val="Policepardfaut"/>
    <w:rsid w:val="003D4967"/>
  </w:style>
  <w:style w:type="character" w:customStyle="1" w:styleId="citation-121">
    <w:name w:val="citation-121"/>
    <w:basedOn w:val="Policepardfaut"/>
    <w:rsid w:val="003D4967"/>
  </w:style>
  <w:style w:type="character" w:customStyle="1" w:styleId="citation-120">
    <w:name w:val="citation-120"/>
    <w:basedOn w:val="Policepardfaut"/>
    <w:rsid w:val="003D4967"/>
  </w:style>
  <w:style w:type="character" w:customStyle="1" w:styleId="citation-119">
    <w:name w:val="citation-119"/>
    <w:basedOn w:val="Policepardfaut"/>
    <w:rsid w:val="003D4967"/>
  </w:style>
  <w:style w:type="character" w:customStyle="1" w:styleId="citation-118">
    <w:name w:val="citation-118"/>
    <w:basedOn w:val="Policepardfaut"/>
    <w:rsid w:val="003D4967"/>
  </w:style>
  <w:style w:type="character" w:customStyle="1" w:styleId="citation-117">
    <w:name w:val="citation-117"/>
    <w:basedOn w:val="Policepardfaut"/>
    <w:rsid w:val="003D4967"/>
  </w:style>
  <w:style w:type="character" w:customStyle="1" w:styleId="citation-116">
    <w:name w:val="citation-116"/>
    <w:basedOn w:val="Policepardfaut"/>
    <w:rsid w:val="003D4967"/>
  </w:style>
  <w:style w:type="character" w:customStyle="1" w:styleId="citation-115">
    <w:name w:val="citation-115"/>
    <w:basedOn w:val="Policepardfaut"/>
    <w:rsid w:val="003D4967"/>
  </w:style>
  <w:style w:type="character" w:customStyle="1" w:styleId="citation-114">
    <w:name w:val="citation-114"/>
    <w:basedOn w:val="Policepardfaut"/>
    <w:rsid w:val="003D4967"/>
  </w:style>
  <w:style w:type="character" w:customStyle="1" w:styleId="citation-113">
    <w:name w:val="citation-113"/>
    <w:basedOn w:val="Policepardfaut"/>
    <w:rsid w:val="003D4967"/>
  </w:style>
  <w:style w:type="character" w:customStyle="1" w:styleId="citation-112">
    <w:name w:val="citation-112"/>
    <w:basedOn w:val="Policepardfaut"/>
    <w:rsid w:val="003D4967"/>
  </w:style>
  <w:style w:type="character" w:styleId="Numrodepage">
    <w:name w:val="page number"/>
    <w:basedOn w:val="Policepardfaut"/>
    <w:uiPriority w:val="99"/>
    <w:semiHidden/>
    <w:unhideWhenUsed/>
    <w:rsid w:val="004C1EAA"/>
  </w:style>
  <w:style w:type="character" w:customStyle="1" w:styleId="citation-1672">
    <w:name w:val="citation-1672"/>
    <w:basedOn w:val="Policepardfaut"/>
    <w:rsid w:val="008F79EE"/>
  </w:style>
  <w:style w:type="character" w:customStyle="1" w:styleId="citation-1671">
    <w:name w:val="citation-1671"/>
    <w:basedOn w:val="Policepardfaut"/>
    <w:rsid w:val="008F79EE"/>
  </w:style>
  <w:style w:type="character" w:customStyle="1" w:styleId="citation-1670">
    <w:name w:val="citation-1670"/>
    <w:basedOn w:val="Policepardfaut"/>
    <w:rsid w:val="008F79EE"/>
  </w:style>
  <w:style w:type="character" w:customStyle="1" w:styleId="citation-1669">
    <w:name w:val="citation-1669"/>
    <w:basedOn w:val="Policepardfaut"/>
    <w:rsid w:val="008F79EE"/>
  </w:style>
  <w:style w:type="character" w:customStyle="1" w:styleId="citation-1667">
    <w:name w:val="citation-1667"/>
    <w:basedOn w:val="Policepardfaut"/>
    <w:rsid w:val="008F79EE"/>
  </w:style>
  <w:style w:type="character" w:customStyle="1" w:styleId="citation-1666">
    <w:name w:val="citation-1666"/>
    <w:basedOn w:val="Policepardfaut"/>
    <w:rsid w:val="008F79EE"/>
  </w:style>
  <w:style w:type="character" w:customStyle="1" w:styleId="citation-1665">
    <w:name w:val="citation-1665"/>
    <w:basedOn w:val="Policepardfaut"/>
    <w:rsid w:val="008F79EE"/>
  </w:style>
  <w:style w:type="character" w:customStyle="1" w:styleId="citation-1664">
    <w:name w:val="citation-1664"/>
    <w:basedOn w:val="Policepardfaut"/>
    <w:rsid w:val="008F79EE"/>
  </w:style>
  <w:style w:type="character" w:customStyle="1" w:styleId="citation-1663">
    <w:name w:val="citation-1663"/>
    <w:basedOn w:val="Policepardfaut"/>
    <w:rsid w:val="008F79EE"/>
  </w:style>
  <w:style w:type="character" w:customStyle="1" w:styleId="citation-1661">
    <w:name w:val="citation-1661"/>
    <w:basedOn w:val="Policepardfaut"/>
    <w:rsid w:val="008F79EE"/>
  </w:style>
  <w:style w:type="character" w:customStyle="1" w:styleId="citation-1660">
    <w:name w:val="citation-1660"/>
    <w:basedOn w:val="Policepardfaut"/>
    <w:rsid w:val="008F79EE"/>
  </w:style>
  <w:style w:type="character" w:customStyle="1" w:styleId="citation-1659">
    <w:name w:val="citation-1659"/>
    <w:basedOn w:val="Policepardfaut"/>
    <w:rsid w:val="008F79EE"/>
  </w:style>
  <w:style w:type="character" w:customStyle="1" w:styleId="citation-1658">
    <w:name w:val="citation-1658"/>
    <w:basedOn w:val="Policepardfaut"/>
    <w:rsid w:val="008F79EE"/>
  </w:style>
  <w:style w:type="character" w:customStyle="1" w:styleId="citation-1657">
    <w:name w:val="citation-1657"/>
    <w:basedOn w:val="Policepardfaut"/>
    <w:rsid w:val="008F79EE"/>
  </w:style>
  <w:style w:type="character" w:customStyle="1" w:styleId="citation-1656">
    <w:name w:val="citation-1656"/>
    <w:basedOn w:val="Policepardfaut"/>
    <w:rsid w:val="008F79EE"/>
  </w:style>
  <w:style w:type="character" w:customStyle="1" w:styleId="citation-1655">
    <w:name w:val="citation-1655"/>
    <w:basedOn w:val="Policepardfaut"/>
    <w:rsid w:val="008F79EE"/>
  </w:style>
  <w:style w:type="character" w:customStyle="1" w:styleId="citation-1654">
    <w:name w:val="citation-1654"/>
    <w:basedOn w:val="Policepardfaut"/>
    <w:rsid w:val="008F79EE"/>
  </w:style>
  <w:style w:type="character" w:customStyle="1" w:styleId="citation-466">
    <w:name w:val="citation-466"/>
    <w:basedOn w:val="Policepardfaut"/>
    <w:rsid w:val="008C100D"/>
  </w:style>
  <w:style w:type="character" w:customStyle="1" w:styleId="citation-465">
    <w:name w:val="citation-465"/>
    <w:basedOn w:val="Policepardfaut"/>
    <w:rsid w:val="008C100D"/>
  </w:style>
  <w:style w:type="character" w:customStyle="1" w:styleId="citation-464">
    <w:name w:val="citation-464"/>
    <w:basedOn w:val="Policepardfaut"/>
    <w:rsid w:val="008C100D"/>
  </w:style>
  <w:style w:type="character" w:customStyle="1" w:styleId="citation-463">
    <w:name w:val="citation-463"/>
    <w:basedOn w:val="Policepardfaut"/>
    <w:rsid w:val="008C100D"/>
  </w:style>
  <w:style w:type="character" w:customStyle="1" w:styleId="citation-462">
    <w:name w:val="citation-462"/>
    <w:basedOn w:val="Policepardfaut"/>
    <w:rsid w:val="008C100D"/>
  </w:style>
  <w:style w:type="character" w:customStyle="1" w:styleId="citation-461">
    <w:name w:val="citation-461"/>
    <w:basedOn w:val="Policepardfaut"/>
    <w:rsid w:val="008C100D"/>
  </w:style>
  <w:style w:type="character" w:customStyle="1" w:styleId="citation-460">
    <w:name w:val="citation-460"/>
    <w:basedOn w:val="Policepardfaut"/>
    <w:rsid w:val="008C100D"/>
  </w:style>
  <w:style w:type="character" w:customStyle="1" w:styleId="citation-459">
    <w:name w:val="citation-459"/>
    <w:basedOn w:val="Policepardfaut"/>
    <w:rsid w:val="008C100D"/>
  </w:style>
  <w:style w:type="character" w:customStyle="1" w:styleId="citation-458">
    <w:name w:val="citation-458"/>
    <w:basedOn w:val="Policepardfaut"/>
    <w:rsid w:val="008C100D"/>
  </w:style>
  <w:style w:type="character" w:customStyle="1" w:styleId="citation-457">
    <w:name w:val="citation-457"/>
    <w:basedOn w:val="Policepardfaut"/>
    <w:rsid w:val="008C100D"/>
  </w:style>
  <w:style w:type="character" w:customStyle="1" w:styleId="citation-456">
    <w:name w:val="citation-456"/>
    <w:basedOn w:val="Policepardfaut"/>
    <w:rsid w:val="008C100D"/>
  </w:style>
  <w:style w:type="character" w:customStyle="1" w:styleId="citation-455">
    <w:name w:val="citation-455"/>
    <w:basedOn w:val="Policepardfaut"/>
    <w:rsid w:val="008C100D"/>
  </w:style>
  <w:style w:type="character" w:customStyle="1" w:styleId="citation-454">
    <w:name w:val="citation-454"/>
    <w:basedOn w:val="Policepardfaut"/>
    <w:rsid w:val="008C100D"/>
  </w:style>
  <w:style w:type="character" w:customStyle="1" w:styleId="citation-453">
    <w:name w:val="citation-453"/>
    <w:basedOn w:val="Policepardfaut"/>
    <w:rsid w:val="008C100D"/>
  </w:style>
  <w:style w:type="character" w:customStyle="1" w:styleId="citation-452">
    <w:name w:val="citation-452"/>
    <w:basedOn w:val="Policepardfaut"/>
    <w:rsid w:val="008C100D"/>
  </w:style>
  <w:style w:type="character" w:customStyle="1" w:styleId="citation-451">
    <w:name w:val="citation-451"/>
    <w:basedOn w:val="Policepardfaut"/>
    <w:rsid w:val="008C100D"/>
  </w:style>
  <w:style w:type="character" w:customStyle="1" w:styleId="citation-450">
    <w:name w:val="citation-450"/>
    <w:basedOn w:val="Policepardfaut"/>
    <w:rsid w:val="008C100D"/>
  </w:style>
  <w:style w:type="character" w:customStyle="1" w:styleId="citation-449">
    <w:name w:val="citation-449"/>
    <w:basedOn w:val="Policepardfaut"/>
    <w:rsid w:val="008C100D"/>
  </w:style>
  <w:style w:type="character" w:customStyle="1" w:styleId="citation-448">
    <w:name w:val="citation-448"/>
    <w:basedOn w:val="Policepardfaut"/>
    <w:rsid w:val="008C100D"/>
  </w:style>
  <w:style w:type="character" w:customStyle="1" w:styleId="citation-447">
    <w:name w:val="citation-447"/>
    <w:basedOn w:val="Policepardfaut"/>
    <w:rsid w:val="008C100D"/>
  </w:style>
  <w:style w:type="character" w:customStyle="1" w:styleId="citation-446">
    <w:name w:val="citation-446"/>
    <w:basedOn w:val="Policepardfaut"/>
    <w:rsid w:val="008C100D"/>
  </w:style>
  <w:style w:type="character" w:customStyle="1" w:styleId="citation-445">
    <w:name w:val="citation-445"/>
    <w:basedOn w:val="Policepardfaut"/>
    <w:rsid w:val="008C100D"/>
  </w:style>
  <w:style w:type="character" w:customStyle="1" w:styleId="citation-444">
    <w:name w:val="citation-444"/>
    <w:basedOn w:val="Policepardfaut"/>
    <w:rsid w:val="008C100D"/>
  </w:style>
  <w:style w:type="character" w:customStyle="1" w:styleId="citation-443">
    <w:name w:val="citation-443"/>
    <w:basedOn w:val="Policepardfaut"/>
    <w:rsid w:val="008C100D"/>
  </w:style>
  <w:style w:type="character" w:customStyle="1" w:styleId="citation-442">
    <w:name w:val="citation-442"/>
    <w:basedOn w:val="Policepardfaut"/>
    <w:rsid w:val="008C100D"/>
  </w:style>
  <w:style w:type="character" w:customStyle="1" w:styleId="citation-441">
    <w:name w:val="citation-441"/>
    <w:basedOn w:val="Policepardfaut"/>
    <w:rsid w:val="008C100D"/>
  </w:style>
  <w:style w:type="character" w:customStyle="1" w:styleId="citation-440">
    <w:name w:val="citation-440"/>
    <w:basedOn w:val="Policepardfaut"/>
    <w:rsid w:val="008C100D"/>
  </w:style>
  <w:style w:type="character" w:customStyle="1" w:styleId="citation-637">
    <w:name w:val="citation-637"/>
    <w:basedOn w:val="Policepardfaut"/>
    <w:rsid w:val="008C100D"/>
  </w:style>
  <w:style w:type="character" w:customStyle="1" w:styleId="citation-636">
    <w:name w:val="citation-636"/>
    <w:basedOn w:val="Policepardfaut"/>
    <w:rsid w:val="008C100D"/>
  </w:style>
  <w:style w:type="character" w:customStyle="1" w:styleId="citation-635">
    <w:name w:val="citation-635"/>
    <w:basedOn w:val="Policepardfaut"/>
    <w:rsid w:val="008C100D"/>
  </w:style>
  <w:style w:type="character" w:customStyle="1" w:styleId="citation-634">
    <w:name w:val="citation-634"/>
    <w:basedOn w:val="Policepardfaut"/>
    <w:rsid w:val="008C100D"/>
  </w:style>
  <w:style w:type="character" w:customStyle="1" w:styleId="citation-633">
    <w:name w:val="citation-633"/>
    <w:basedOn w:val="Policepardfaut"/>
    <w:rsid w:val="008C100D"/>
  </w:style>
  <w:style w:type="character" w:customStyle="1" w:styleId="citation-632">
    <w:name w:val="citation-632"/>
    <w:basedOn w:val="Policepardfaut"/>
    <w:rsid w:val="008C100D"/>
  </w:style>
  <w:style w:type="character" w:customStyle="1" w:styleId="citation-631">
    <w:name w:val="citation-631"/>
    <w:basedOn w:val="Policepardfaut"/>
    <w:rsid w:val="008C100D"/>
  </w:style>
  <w:style w:type="character" w:customStyle="1" w:styleId="citation-630">
    <w:name w:val="citation-630"/>
    <w:basedOn w:val="Policepardfaut"/>
    <w:rsid w:val="008C100D"/>
  </w:style>
  <w:style w:type="character" w:customStyle="1" w:styleId="citation-629">
    <w:name w:val="citation-629"/>
    <w:basedOn w:val="Policepardfaut"/>
    <w:rsid w:val="008C100D"/>
  </w:style>
  <w:style w:type="character" w:customStyle="1" w:styleId="citation-628">
    <w:name w:val="citation-628"/>
    <w:basedOn w:val="Policepardfaut"/>
    <w:rsid w:val="008C100D"/>
  </w:style>
  <w:style w:type="character" w:customStyle="1" w:styleId="citation-627">
    <w:name w:val="citation-627"/>
    <w:basedOn w:val="Policepardfaut"/>
    <w:rsid w:val="008C100D"/>
  </w:style>
  <w:style w:type="character" w:customStyle="1" w:styleId="citation-626">
    <w:name w:val="citation-626"/>
    <w:basedOn w:val="Policepardfaut"/>
    <w:rsid w:val="008C100D"/>
  </w:style>
  <w:style w:type="character" w:customStyle="1" w:styleId="citation-625">
    <w:name w:val="citation-625"/>
    <w:basedOn w:val="Policepardfaut"/>
    <w:rsid w:val="008C100D"/>
  </w:style>
  <w:style w:type="character" w:customStyle="1" w:styleId="citation-624">
    <w:name w:val="citation-624"/>
    <w:basedOn w:val="Policepardfaut"/>
    <w:rsid w:val="008C100D"/>
  </w:style>
  <w:style w:type="character" w:customStyle="1" w:styleId="citation-623">
    <w:name w:val="citation-623"/>
    <w:basedOn w:val="Policepardfaut"/>
    <w:rsid w:val="008C100D"/>
  </w:style>
  <w:style w:type="character" w:customStyle="1" w:styleId="citation-622">
    <w:name w:val="citation-622"/>
    <w:basedOn w:val="Policepardfaut"/>
    <w:rsid w:val="008C100D"/>
  </w:style>
  <w:style w:type="character" w:customStyle="1" w:styleId="citation-721">
    <w:name w:val="citation-721"/>
    <w:basedOn w:val="Policepardfaut"/>
    <w:rsid w:val="008D277B"/>
  </w:style>
  <w:style w:type="character" w:customStyle="1" w:styleId="citation-720">
    <w:name w:val="citation-720"/>
    <w:basedOn w:val="Policepardfaut"/>
    <w:rsid w:val="008D277B"/>
  </w:style>
  <w:style w:type="character" w:customStyle="1" w:styleId="citation-719">
    <w:name w:val="citation-719"/>
    <w:basedOn w:val="Policepardfaut"/>
    <w:rsid w:val="008D277B"/>
  </w:style>
  <w:style w:type="character" w:customStyle="1" w:styleId="citation-718">
    <w:name w:val="citation-718"/>
    <w:basedOn w:val="Policepardfaut"/>
    <w:rsid w:val="008D277B"/>
  </w:style>
  <w:style w:type="character" w:customStyle="1" w:styleId="citation-717">
    <w:name w:val="citation-717"/>
    <w:basedOn w:val="Policepardfaut"/>
    <w:rsid w:val="008D277B"/>
  </w:style>
  <w:style w:type="character" w:customStyle="1" w:styleId="citation-716">
    <w:name w:val="citation-716"/>
    <w:basedOn w:val="Policepardfaut"/>
    <w:rsid w:val="008D277B"/>
  </w:style>
  <w:style w:type="character" w:customStyle="1" w:styleId="citation-715">
    <w:name w:val="citation-715"/>
    <w:basedOn w:val="Policepardfaut"/>
    <w:rsid w:val="008D277B"/>
  </w:style>
  <w:style w:type="character" w:customStyle="1" w:styleId="citation-714">
    <w:name w:val="citation-714"/>
    <w:basedOn w:val="Policepardfaut"/>
    <w:rsid w:val="008D277B"/>
  </w:style>
  <w:style w:type="character" w:customStyle="1" w:styleId="citation-713">
    <w:name w:val="citation-713"/>
    <w:basedOn w:val="Policepardfaut"/>
    <w:rsid w:val="008D277B"/>
  </w:style>
  <w:style w:type="character" w:customStyle="1" w:styleId="citation-712">
    <w:name w:val="citation-712"/>
    <w:basedOn w:val="Policepardfaut"/>
    <w:rsid w:val="008D277B"/>
  </w:style>
  <w:style w:type="character" w:customStyle="1" w:styleId="citation-798">
    <w:name w:val="citation-798"/>
    <w:basedOn w:val="Policepardfaut"/>
    <w:rsid w:val="008D277B"/>
  </w:style>
  <w:style w:type="character" w:customStyle="1" w:styleId="citation-797">
    <w:name w:val="citation-797"/>
    <w:basedOn w:val="Policepardfaut"/>
    <w:rsid w:val="008D277B"/>
  </w:style>
  <w:style w:type="character" w:customStyle="1" w:styleId="citation-796">
    <w:name w:val="citation-796"/>
    <w:basedOn w:val="Policepardfaut"/>
    <w:rsid w:val="008D277B"/>
  </w:style>
  <w:style w:type="character" w:customStyle="1" w:styleId="citation-795">
    <w:name w:val="citation-795"/>
    <w:basedOn w:val="Policepardfaut"/>
    <w:rsid w:val="008D277B"/>
  </w:style>
  <w:style w:type="character" w:customStyle="1" w:styleId="citation-794">
    <w:name w:val="citation-794"/>
    <w:basedOn w:val="Policepardfaut"/>
    <w:rsid w:val="008D277B"/>
  </w:style>
  <w:style w:type="character" w:customStyle="1" w:styleId="citation-793">
    <w:name w:val="citation-793"/>
    <w:basedOn w:val="Policepardfaut"/>
    <w:rsid w:val="008D277B"/>
  </w:style>
  <w:style w:type="character" w:customStyle="1" w:styleId="citation-792">
    <w:name w:val="citation-792"/>
    <w:basedOn w:val="Policepardfaut"/>
    <w:rsid w:val="008D277B"/>
  </w:style>
  <w:style w:type="character" w:customStyle="1" w:styleId="citation-791">
    <w:name w:val="citation-791"/>
    <w:basedOn w:val="Policepardfaut"/>
    <w:rsid w:val="008D277B"/>
  </w:style>
  <w:style w:type="character" w:customStyle="1" w:styleId="citation-790">
    <w:name w:val="citation-790"/>
    <w:basedOn w:val="Policepardfaut"/>
    <w:rsid w:val="008D277B"/>
  </w:style>
  <w:style w:type="character" w:customStyle="1" w:styleId="citation-789">
    <w:name w:val="citation-789"/>
    <w:basedOn w:val="Policepardfaut"/>
    <w:rsid w:val="008D277B"/>
  </w:style>
  <w:style w:type="character" w:customStyle="1" w:styleId="citation-788">
    <w:name w:val="citation-788"/>
    <w:basedOn w:val="Policepardfaut"/>
    <w:rsid w:val="008D277B"/>
  </w:style>
  <w:style w:type="character" w:customStyle="1" w:styleId="citation-787">
    <w:name w:val="citation-787"/>
    <w:basedOn w:val="Policepardfaut"/>
    <w:rsid w:val="008D277B"/>
  </w:style>
  <w:style w:type="character" w:customStyle="1" w:styleId="citation-786">
    <w:name w:val="citation-786"/>
    <w:basedOn w:val="Policepardfaut"/>
    <w:rsid w:val="008D277B"/>
  </w:style>
  <w:style w:type="character" w:customStyle="1" w:styleId="citation-785">
    <w:name w:val="citation-785"/>
    <w:basedOn w:val="Policepardfaut"/>
    <w:rsid w:val="008D277B"/>
  </w:style>
  <w:style w:type="character" w:customStyle="1" w:styleId="citation-784">
    <w:name w:val="citation-784"/>
    <w:basedOn w:val="Policepardfaut"/>
    <w:rsid w:val="008D277B"/>
  </w:style>
  <w:style w:type="character" w:customStyle="1" w:styleId="citation-860">
    <w:name w:val="citation-860"/>
    <w:basedOn w:val="Policepardfaut"/>
    <w:rsid w:val="006F6C6C"/>
  </w:style>
  <w:style w:type="character" w:customStyle="1" w:styleId="citation-859">
    <w:name w:val="citation-859"/>
    <w:basedOn w:val="Policepardfaut"/>
    <w:rsid w:val="006F6C6C"/>
  </w:style>
  <w:style w:type="character" w:customStyle="1" w:styleId="citation-858">
    <w:name w:val="citation-858"/>
    <w:basedOn w:val="Policepardfaut"/>
    <w:rsid w:val="006F6C6C"/>
  </w:style>
  <w:style w:type="character" w:customStyle="1" w:styleId="citation-901">
    <w:name w:val="citation-901"/>
    <w:basedOn w:val="Policepardfaut"/>
    <w:rsid w:val="004049FE"/>
  </w:style>
  <w:style w:type="character" w:customStyle="1" w:styleId="citation-900">
    <w:name w:val="citation-900"/>
    <w:basedOn w:val="Policepardfaut"/>
    <w:rsid w:val="004049FE"/>
  </w:style>
  <w:style w:type="paragraph" w:styleId="Sous-titre">
    <w:name w:val="Subtitle"/>
    <w:basedOn w:val="Normal"/>
    <w:next w:val="Normal"/>
    <w:link w:val="Sous-titreCar"/>
    <w:uiPriority w:val="11"/>
    <w:qFormat/>
    <w:rsid w:val="00FA419F"/>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FA419F"/>
    <w:rPr>
      <w:rFonts w:eastAsiaTheme="minorEastAsia"/>
      <w:color w:val="5A5A5A" w:themeColor="text1" w:themeTint="A5"/>
      <w:spacing w:val="15"/>
    </w:rPr>
  </w:style>
  <w:style w:type="paragraph" w:styleId="Bibliographie">
    <w:name w:val="Bibliography"/>
    <w:basedOn w:val="Normal"/>
    <w:next w:val="Normal"/>
    <w:uiPriority w:val="37"/>
    <w:unhideWhenUsed/>
    <w:rsid w:val="006905CE"/>
    <w:pPr>
      <w:spacing w:after="0" w:line="480" w:lineRule="auto"/>
      <w:ind w:left="720" w:hanging="720"/>
    </w:pPr>
  </w:style>
  <w:style w:type="character" w:customStyle="1" w:styleId="citation-42">
    <w:name w:val="citation-42"/>
    <w:basedOn w:val="Policepardfaut"/>
    <w:rsid w:val="007A58D9"/>
  </w:style>
  <w:style w:type="character" w:customStyle="1" w:styleId="citation-41">
    <w:name w:val="citation-41"/>
    <w:basedOn w:val="Policepardfaut"/>
    <w:rsid w:val="007A58D9"/>
  </w:style>
  <w:style w:type="character" w:customStyle="1" w:styleId="citation-40">
    <w:name w:val="citation-40"/>
    <w:basedOn w:val="Policepardfaut"/>
    <w:rsid w:val="007A58D9"/>
  </w:style>
  <w:style w:type="character" w:customStyle="1" w:styleId="citation-39">
    <w:name w:val="citation-39"/>
    <w:basedOn w:val="Policepardfaut"/>
    <w:rsid w:val="007A58D9"/>
  </w:style>
  <w:style w:type="character" w:customStyle="1" w:styleId="citation-38">
    <w:name w:val="citation-38"/>
    <w:basedOn w:val="Policepardfaut"/>
    <w:rsid w:val="007A58D9"/>
  </w:style>
  <w:style w:type="character" w:customStyle="1" w:styleId="citation-37">
    <w:name w:val="citation-37"/>
    <w:basedOn w:val="Policepardfaut"/>
    <w:rsid w:val="007A58D9"/>
  </w:style>
  <w:style w:type="character" w:customStyle="1" w:styleId="cdk-visually-hidden">
    <w:name w:val="cdk-visually-hidden"/>
    <w:basedOn w:val="Policepardfaut"/>
    <w:rsid w:val="007A58D9"/>
  </w:style>
  <w:style w:type="character" w:customStyle="1" w:styleId="citation-100">
    <w:name w:val="citation-100"/>
    <w:basedOn w:val="Policepardfaut"/>
    <w:rsid w:val="007A58D9"/>
  </w:style>
  <w:style w:type="character" w:customStyle="1" w:styleId="citation-99">
    <w:name w:val="citation-99"/>
    <w:basedOn w:val="Policepardfaut"/>
    <w:rsid w:val="007A58D9"/>
  </w:style>
  <w:style w:type="character" w:customStyle="1" w:styleId="citation-98">
    <w:name w:val="citation-98"/>
    <w:basedOn w:val="Policepardfaut"/>
    <w:rsid w:val="007A58D9"/>
  </w:style>
  <w:style w:type="character" w:customStyle="1" w:styleId="citation-97">
    <w:name w:val="citation-97"/>
    <w:basedOn w:val="Policepardfaut"/>
    <w:rsid w:val="007A58D9"/>
  </w:style>
  <w:style w:type="character" w:customStyle="1" w:styleId="citation-96">
    <w:name w:val="citation-96"/>
    <w:basedOn w:val="Policepardfaut"/>
    <w:rsid w:val="007A58D9"/>
  </w:style>
  <w:style w:type="character" w:customStyle="1" w:styleId="citation-95">
    <w:name w:val="citation-95"/>
    <w:basedOn w:val="Policepardfaut"/>
    <w:rsid w:val="007A58D9"/>
  </w:style>
  <w:style w:type="character" w:customStyle="1" w:styleId="citation-94">
    <w:name w:val="citation-94"/>
    <w:basedOn w:val="Policepardfaut"/>
    <w:rsid w:val="007A58D9"/>
  </w:style>
  <w:style w:type="character" w:customStyle="1" w:styleId="citation-93">
    <w:name w:val="citation-93"/>
    <w:basedOn w:val="Policepardfaut"/>
    <w:rsid w:val="007A58D9"/>
  </w:style>
  <w:style w:type="character" w:customStyle="1" w:styleId="citation-92">
    <w:name w:val="citation-92"/>
    <w:basedOn w:val="Policepardfaut"/>
    <w:rsid w:val="007A58D9"/>
  </w:style>
  <w:style w:type="character" w:customStyle="1" w:styleId="citation-91">
    <w:name w:val="citation-91"/>
    <w:basedOn w:val="Policepardfaut"/>
    <w:rsid w:val="007A58D9"/>
  </w:style>
  <w:style w:type="paragraph" w:customStyle="1" w:styleId="p1">
    <w:name w:val="p1"/>
    <w:basedOn w:val="Normal"/>
    <w:rsid w:val="007F1BD7"/>
    <w:pPr>
      <w:spacing w:after="0" w:line="240" w:lineRule="auto"/>
    </w:pPr>
    <w:rPr>
      <w:rFonts w:ascii="Times New Roman" w:eastAsia="Times New Roman" w:hAnsi="Times New Roman" w:cs="Times New Roman"/>
      <w:color w:val="000000"/>
      <w:sz w:val="17"/>
      <w:szCs w:val="17"/>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782642">
      <w:bodyDiv w:val="1"/>
      <w:marLeft w:val="0"/>
      <w:marRight w:val="0"/>
      <w:marTop w:val="0"/>
      <w:marBottom w:val="0"/>
      <w:divBdr>
        <w:top w:val="none" w:sz="0" w:space="0" w:color="auto"/>
        <w:left w:val="none" w:sz="0" w:space="0" w:color="auto"/>
        <w:bottom w:val="none" w:sz="0" w:space="0" w:color="auto"/>
        <w:right w:val="none" w:sz="0" w:space="0" w:color="auto"/>
      </w:divBdr>
      <w:divsChild>
        <w:div w:id="602953418">
          <w:marLeft w:val="480"/>
          <w:marRight w:val="0"/>
          <w:marTop w:val="0"/>
          <w:marBottom w:val="0"/>
          <w:divBdr>
            <w:top w:val="none" w:sz="0" w:space="0" w:color="auto"/>
            <w:left w:val="none" w:sz="0" w:space="0" w:color="auto"/>
            <w:bottom w:val="none" w:sz="0" w:space="0" w:color="auto"/>
            <w:right w:val="none" w:sz="0" w:space="0" w:color="auto"/>
          </w:divBdr>
          <w:divsChild>
            <w:div w:id="943196103">
              <w:marLeft w:val="0"/>
              <w:marRight w:val="0"/>
              <w:marTop w:val="0"/>
              <w:marBottom w:val="0"/>
              <w:divBdr>
                <w:top w:val="none" w:sz="0" w:space="0" w:color="auto"/>
                <w:left w:val="none" w:sz="0" w:space="0" w:color="auto"/>
                <w:bottom w:val="none" w:sz="0" w:space="0" w:color="auto"/>
                <w:right w:val="none" w:sz="0" w:space="0" w:color="auto"/>
              </w:divBdr>
            </w:div>
            <w:div w:id="1778013890">
              <w:marLeft w:val="0"/>
              <w:marRight w:val="0"/>
              <w:marTop w:val="0"/>
              <w:marBottom w:val="0"/>
              <w:divBdr>
                <w:top w:val="none" w:sz="0" w:space="0" w:color="auto"/>
                <w:left w:val="none" w:sz="0" w:space="0" w:color="auto"/>
                <w:bottom w:val="none" w:sz="0" w:space="0" w:color="auto"/>
                <w:right w:val="none" w:sz="0" w:space="0" w:color="auto"/>
              </w:divBdr>
            </w:div>
            <w:div w:id="1652098515">
              <w:marLeft w:val="0"/>
              <w:marRight w:val="0"/>
              <w:marTop w:val="0"/>
              <w:marBottom w:val="0"/>
              <w:divBdr>
                <w:top w:val="none" w:sz="0" w:space="0" w:color="auto"/>
                <w:left w:val="none" w:sz="0" w:space="0" w:color="auto"/>
                <w:bottom w:val="none" w:sz="0" w:space="0" w:color="auto"/>
                <w:right w:val="none" w:sz="0" w:space="0" w:color="auto"/>
              </w:divBdr>
            </w:div>
            <w:div w:id="1997955821">
              <w:marLeft w:val="0"/>
              <w:marRight w:val="0"/>
              <w:marTop w:val="0"/>
              <w:marBottom w:val="0"/>
              <w:divBdr>
                <w:top w:val="none" w:sz="0" w:space="0" w:color="auto"/>
                <w:left w:val="none" w:sz="0" w:space="0" w:color="auto"/>
                <w:bottom w:val="none" w:sz="0" w:space="0" w:color="auto"/>
                <w:right w:val="none" w:sz="0" w:space="0" w:color="auto"/>
              </w:divBdr>
            </w:div>
            <w:div w:id="1291591321">
              <w:marLeft w:val="0"/>
              <w:marRight w:val="0"/>
              <w:marTop w:val="0"/>
              <w:marBottom w:val="0"/>
              <w:divBdr>
                <w:top w:val="none" w:sz="0" w:space="0" w:color="auto"/>
                <w:left w:val="none" w:sz="0" w:space="0" w:color="auto"/>
                <w:bottom w:val="none" w:sz="0" w:space="0" w:color="auto"/>
                <w:right w:val="none" w:sz="0" w:space="0" w:color="auto"/>
              </w:divBdr>
            </w:div>
            <w:div w:id="1784612335">
              <w:marLeft w:val="0"/>
              <w:marRight w:val="0"/>
              <w:marTop w:val="0"/>
              <w:marBottom w:val="0"/>
              <w:divBdr>
                <w:top w:val="none" w:sz="0" w:space="0" w:color="auto"/>
                <w:left w:val="none" w:sz="0" w:space="0" w:color="auto"/>
                <w:bottom w:val="none" w:sz="0" w:space="0" w:color="auto"/>
                <w:right w:val="none" w:sz="0" w:space="0" w:color="auto"/>
              </w:divBdr>
            </w:div>
            <w:div w:id="974604033">
              <w:marLeft w:val="0"/>
              <w:marRight w:val="0"/>
              <w:marTop w:val="0"/>
              <w:marBottom w:val="0"/>
              <w:divBdr>
                <w:top w:val="none" w:sz="0" w:space="0" w:color="auto"/>
                <w:left w:val="none" w:sz="0" w:space="0" w:color="auto"/>
                <w:bottom w:val="none" w:sz="0" w:space="0" w:color="auto"/>
                <w:right w:val="none" w:sz="0" w:space="0" w:color="auto"/>
              </w:divBdr>
            </w:div>
            <w:div w:id="508106923">
              <w:marLeft w:val="0"/>
              <w:marRight w:val="0"/>
              <w:marTop w:val="0"/>
              <w:marBottom w:val="0"/>
              <w:divBdr>
                <w:top w:val="none" w:sz="0" w:space="0" w:color="auto"/>
                <w:left w:val="none" w:sz="0" w:space="0" w:color="auto"/>
                <w:bottom w:val="none" w:sz="0" w:space="0" w:color="auto"/>
                <w:right w:val="none" w:sz="0" w:space="0" w:color="auto"/>
              </w:divBdr>
            </w:div>
            <w:div w:id="2045012185">
              <w:marLeft w:val="0"/>
              <w:marRight w:val="0"/>
              <w:marTop w:val="0"/>
              <w:marBottom w:val="0"/>
              <w:divBdr>
                <w:top w:val="none" w:sz="0" w:space="0" w:color="auto"/>
                <w:left w:val="none" w:sz="0" w:space="0" w:color="auto"/>
                <w:bottom w:val="none" w:sz="0" w:space="0" w:color="auto"/>
                <w:right w:val="none" w:sz="0" w:space="0" w:color="auto"/>
              </w:divBdr>
            </w:div>
            <w:div w:id="1956909557">
              <w:marLeft w:val="0"/>
              <w:marRight w:val="0"/>
              <w:marTop w:val="0"/>
              <w:marBottom w:val="0"/>
              <w:divBdr>
                <w:top w:val="none" w:sz="0" w:space="0" w:color="auto"/>
                <w:left w:val="none" w:sz="0" w:space="0" w:color="auto"/>
                <w:bottom w:val="none" w:sz="0" w:space="0" w:color="auto"/>
                <w:right w:val="none" w:sz="0" w:space="0" w:color="auto"/>
              </w:divBdr>
            </w:div>
            <w:div w:id="2075546956">
              <w:marLeft w:val="0"/>
              <w:marRight w:val="0"/>
              <w:marTop w:val="0"/>
              <w:marBottom w:val="0"/>
              <w:divBdr>
                <w:top w:val="none" w:sz="0" w:space="0" w:color="auto"/>
                <w:left w:val="none" w:sz="0" w:space="0" w:color="auto"/>
                <w:bottom w:val="none" w:sz="0" w:space="0" w:color="auto"/>
                <w:right w:val="none" w:sz="0" w:space="0" w:color="auto"/>
              </w:divBdr>
            </w:div>
            <w:div w:id="1575702591">
              <w:marLeft w:val="0"/>
              <w:marRight w:val="0"/>
              <w:marTop w:val="0"/>
              <w:marBottom w:val="0"/>
              <w:divBdr>
                <w:top w:val="none" w:sz="0" w:space="0" w:color="auto"/>
                <w:left w:val="none" w:sz="0" w:space="0" w:color="auto"/>
                <w:bottom w:val="none" w:sz="0" w:space="0" w:color="auto"/>
                <w:right w:val="none" w:sz="0" w:space="0" w:color="auto"/>
              </w:divBdr>
            </w:div>
            <w:div w:id="327250692">
              <w:marLeft w:val="0"/>
              <w:marRight w:val="0"/>
              <w:marTop w:val="0"/>
              <w:marBottom w:val="0"/>
              <w:divBdr>
                <w:top w:val="none" w:sz="0" w:space="0" w:color="auto"/>
                <w:left w:val="none" w:sz="0" w:space="0" w:color="auto"/>
                <w:bottom w:val="none" w:sz="0" w:space="0" w:color="auto"/>
                <w:right w:val="none" w:sz="0" w:space="0" w:color="auto"/>
              </w:divBdr>
            </w:div>
            <w:div w:id="99880509">
              <w:marLeft w:val="0"/>
              <w:marRight w:val="0"/>
              <w:marTop w:val="0"/>
              <w:marBottom w:val="0"/>
              <w:divBdr>
                <w:top w:val="none" w:sz="0" w:space="0" w:color="auto"/>
                <w:left w:val="none" w:sz="0" w:space="0" w:color="auto"/>
                <w:bottom w:val="none" w:sz="0" w:space="0" w:color="auto"/>
                <w:right w:val="none" w:sz="0" w:space="0" w:color="auto"/>
              </w:divBdr>
            </w:div>
            <w:div w:id="1452896757">
              <w:marLeft w:val="0"/>
              <w:marRight w:val="0"/>
              <w:marTop w:val="0"/>
              <w:marBottom w:val="0"/>
              <w:divBdr>
                <w:top w:val="none" w:sz="0" w:space="0" w:color="auto"/>
                <w:left w:val="none" w:sz="0" w:space="0" w:color="auto"/>
                <w:bottom w:val="none" w:sz="0" w:space="0" w:color="auto"/>
                <w:right w:val="none" w:sz="0" w:space="0" w:color="auto"/>
              </w:divBdr>
            </w:div>
            <w:div w:id="1794402729">
              <w:marLeft w:val="0"/>
              <w:marRight w:val="0"/>
              <w:marTop w:val="0"/>
              <w:marBottom w:val="0"/>
              <w:divBdr>
                <w:top w:val="none" w:sz="0" w:space="0" w:color="auto"/>
                <w:left w:val="none" w:sz="0" w:space="0" w:color="auto"/>
                <w:bottom w:val="none" w:sz="0" w:space="0" w:color="auto"/>
                <w:right w:val="none" w:sz="0" w:space="0" w:color="auto"/>
              </w:divBdr>
            </w:div>
            <w:div w:id="749666427">
              <w:marLeft w:val="0"/>
              <w:marRight w:val="0"/>
              <w:marTop w:val="0"/>
              <w:marBottom w:val="0"/>
              <w:divBdr>
                <w:top w:val="none" w:sz="0" w:space="0" w:color="auto"/>
                <w:left w:val="none" w:sz="0" w:space="0" w:color="auto"/>
                <w:bottom w:val="none" w:sz="0" w:space="0" w:color="auto"/>
                <w:right w:val="none" w:sz="0" w:space="0" w:color="auto"/>
              </w:divBdr>
            </w:div>
            <w:div w:id="2023778848">
              <w:marLeft w:val="0"/>
              <w:marRight w:val="0"/>
              <w:marTop w:val="0"/>
              <w:marBottom w:val="0"/>
              <w:divBdr>
                <w:top w:val="none" w:sz="0" w:space="0" w:color="auto"/>
                <w:left w:val="none" w:sz="0" w:space="0" w:color="auto"/>
                <w:bottom w:val="none" w:sz="0" w:space="0" w:color="auto"/>
                <w:right w:val="none" w:sz="0" w:space="0" w:color="auto"/>
              </w:divBdr>
            </w:div>
            <w:div w:id="1904219912">
              <w:marLeft w:val="0"/>
              <w:marRight w:val="0"/>
              <w:marTop w:val="0"/>
              <w:marBottom w:val="0"/>
              <w:divBdr>
                <w:top w:val="none" w:sz="0" w:space="0" w:color="auto"/>
                <w:left w:val="none" w:sz="0" w:space="0" w:color="auto"/>
                <w:bottom w:val="none" w:sz="0" w:space="0" w:color="auto"/>
                <w:right w:val="none" w:sz="0" w:space="0" w:color="auto"/>
              </w:divBdr>
            </w:div>
            <w:div w:id="486631420">
              <w:marLeft w:val="0"/>
              <w:marRight w:val="0"/>
              <w:marTop w:val="0"/>
              <w:marBottom w:val="0"/>
              <w:divBdr>
                <w:top w:val="none" w:sz="0" w:space="0" w:color="auto"/>
                <w:left w:val="none" w:sz="0" w:space="0" w:color="auto"/>
                <w:bottom w:val="none" w:sz="0" w:space="0" w:color="auto"/>
                <w:right w:val="none" w:sz="0" w:space="0" w:color="auto"/>
              </w:divBdr>
            </w:div>
            <w:div w:id="1606767070">
              <w:marLeft w:val="0"/>
              <w:marRight w:val="0"/>
              <w:marTop w:val="0"/>
              <w:marBottom w:val="0"/>
              <w:divBdr>
                <w:top w:val="none" w:sz="0" w:space="0" w:color="auto"/>
                <w:left w:val="none" w:sz="0" w:space="0" w:color="auto"/>
                <w:bottom w:val="none" w:sz="0" w:space="0" w:color="auto"/>
                <w:right w:val="none" w:sz="0" w:space="0" w:color="auto"/>
              </w:divBdr>
            </w:div>
            <w:div w:id="1468626443">
              <w:marLeft w:val="0"/>
              <w:marRight w:val="0"/>
              <w:marTop w:val="0"/>
              <w:marBottom w:val="0"/>
              <w:divBdr>
                <w:top w:val="none" w:sz="0" w:space="0" w:color="auto"/>
                <w:left w:val="none" w:sz="0" w:space="0" w:color="auto"/>
                <w:bottom w:val="none" w:sz="0" w:space="0" w:color="auto"/>
                <w:right w:val="none" w:sz="0" w:space="0" w:color="auto"/>
              </w:divBdr>
            </w:div>
            <w:div w:id="792670833">
              <w:marLeft w:val="0"/>
              <w:marRight w:val="0"/>
              <w:marTop w:val="0"/>
              <w:marBottom w:val="0"/>
              <w:divBdr>
                <w:top w:val="none" w:sz="0" w:space="0" w:color="auto"/>
                <w:left w:val="none" w:sz="0" w:space="0" w:color="auto"/>
                <w:bottom w:val="none" w:sz="0" w:space="0" w:color="auto"/>
                <w:right w:val="none" w:sz="0" w:space="0" w:color="auto"/>
              </w:divBdr>
            </w:div>
            <w:div w:id="895360703">
              <w:marLeft w:val="0"/>
              <w:marRight w:val="0"/>
              <w:marTop w:val="0"/>
              <w:marBottom w:val="0"/>
              <w:divBdr>
                <w:top w:val="none" w:sz="0" w:space="0" w:color="auto"/>
                <w:left w:val="none" w:sz="0" w:space="0" w:color="auto"/>
                <w:bottom w:val="none" w:sz="0" w:space="0" w:color="auto"/>
                <w:right w:val="none" w:sz="0" w:space="0" w:color="auto"/>
              </w:divBdr>
            </w:div>
            <w:div w:id="229655929">
              <w:marLeft w:val="0"/>
              <w:marRight w:val="0"/>
              <w:marTop w:val="0"/>
              <w:marBottom w:val="0"/>
              <w:divBdr>
                <w:top w:val="none" w:sz="0" w:space="0" w:color="auto"/>
                <w:left w:val="none" w:sz="0" w:space="0" w:color="auto"/>
                <w:bottom w:val="none" w:sz="0" w:space="0" w:color="auto"/>
                <w:right w:val="none" w:sz="0" w:space="0" w:color="auto"/>
              </w:divBdr>
            </w:div>
            <w:div w:id="1616789619">
              <w:marLeft w:val="0"/>
              <w:marRight w:val="0"/>
              <w:marTop w:val="0"/>
              <w:marBottom w:val="0"/>
              <w:divBdr>
                <w:top w:val="none" w:sz="0" w:space="0" w:color="auto"/>
                <w:left w:val="none" w:sz="0" w:space="0" w:color="auto"/>
                <w:bottom w:val="none" w:sz="0" w:space="0" w:color="auto"/>
                <w:right w:val="none" w:sz="0" w:space="0" w:color="auto"/>
              </w:divBdr>
            </w:div>
            <w:div w:id="340550344">
              <w:marLeft w:val="0"/>
              <w:marRight w:val="0"/>
              <w:marTop w:val="0"/>
              <w:marBottom w:val="0"/>
              <w:divBdr>
                <w:top w:val="none" w:sz="0" w:space="0" w:color="auto"/>
                <w:left w:val="none" w:sz="0" w:space="0" w:color="auto"/>
                <w:bottom w:val="none" w:sz="0" w:space="0" w:color="auto"/>
                <w:right w:val="none" w:sz="0" w:space="0" w:color="auto"/>
              </w:divBdr>
            </w:div>
            <w:div w:id="758873186">
              <w:marLeft w:val="0"/>
              <w:marRight w:val="0"/>
              <w:marTop w:val="0"/>
              <w:marBottom w:val="0"/>
              <w:divBdr>
                <w:top w:val="none" w:sz="0" w:space="0" w:color="auto"/>
                <w:left w:val="none" w:sz="0" w:space="0" w:color="auto"/>
                <w:bottom w:val="none" w:sz="0" w:space="0" w:color="auto"/>
                <w:right w:val="none" w:sz="0" w:space="0" w:color="auto"/>
              </w:divBdr>
            </w:div>
            <w:div w:id="1524057350">
              <w:marLeft w:val="0"/>
              <w:marRight w:val="0"/>
              <w:marTop w:val="0"/>
              <w:marBottom w:val="0"/>
              <w:divBdr>
                <w:top w:val="none" w:sz="0" w:space="0" w:color="auto"/>
                <w:left w:val="none" w:sz="0" w:space="0" w:color="auto"/>
                <w:bottom w:val="none" w:sz="0" w:space="0" w:color="auto"/>
                <w:right w:val="none" w:sz="0" w:space="0" w:color="auto"/>
              </w:divBdr>
            </w:div>
            <w:div w:id="529419164">
              <w:marLeft w:val="0"/>
              <w:marRight w:val="0"/>
              <w:marTop w:val="0"/>
              <w:marBottom w:val="0"/>
              <w:divBdr>
                <w:top w:val="none" w:sz="0" w:space="0" w:color="auto"/>
                <w:left w:val="none" w:sz="0" w:space="0" w:color="auto"/>
                <w:bottom w:val="none" w:sz="0" w:space="0" w:color="auto"/>
                <w:right w:val="none" w:sz="0" w:space="0" w:color="auto"/>
              </w:divBdr>
            </w:div>
            <w:div w:id="1087768361">
              <w:marLeft w:val="0"/>
              <w:marRight w:val="0"/>
              <w:marTop w:val="0"/>
              <w:marBottom w:val="0"/>
              <w:divBdr>
                <w:top w:val="none" w:sz="0" w:space="0" w:color="auto"/>
                <w:left w:val="none" w:sz="0" w:space="0" w:color="auto"/>
                <w:bottom w:val="none" w:sz="0" w:space="0" w:color="auto"/>
                <w:right w:val="none" w:sz="0" w:space="0" w:color="auto"/>
              </w:divBdr>
            </w:div>
            <w:div w:id="1012074792">
              <w:marLeft w:val="0"/>
              <w:marRight w:val="0"/>
              <w:marTop w:val="0"/>
              <w:marBottom w:val="0"/>
              <w:divBdr>
                <w:top w:val="none" w:sz="0" w:space="0" w:color="auto"/>
                <w:left w:val="none" w:sz="0" w:space="0" w:color="auto"/>
                <w:bottom w:val="none" w:sz="0" w:space="0" w:color="auto"/>
                <w:right w:val="none" w:sz="0" w:space="0" w:color="auto"/>
              </w:divBdr>
            </w:div>
            <w:div w:id="1516574461">
              <w:marLeft w:val="0"/>
              <w:marRight w:val="0"/>
              <w:marTop w:val="0"/>
              <w:marBottom w:val="0"/>
              <w:divBdr>
                <w:top w:val="none" w:sz="0" w:space="0" w:color="auto"/>
                <w:left w:val="none" w:sz="0" w:space="0" w:color="auto"/>
                <w:bottom w:val="none" w:sz="0" w:space="0" w:color="auto"/>
                <w:right w:val="none" w:sz="0" w:space="0" w:color="auto"/>
              </w:divBdr>
            </w:div>
            <w:div w:id="42680039">
              <w:marLeft w:val="0"/>
              <w:marRight w:val="0"/>
              <w:marTop w:val="0"/>
              <w:marBottom w:val="0"/>
              <w:divBdr>
                <w:top w:val="none" w:sz="0" w:space="0" w:color="auto"/>
                <w:left w:val="none" w:sz="0" w:space="0" w:color="auto"/>
                <w:bottom w:val="none" w:sz="0" w:space="0" w:color="auto"/>
                <w:right w:val="none" w:sz="0" w:space="0" w:color="auto"/>
              </w:divBdr>
            </w:div>
            <w:div w:id="1029725523">
              <w:marLeft w:val="0"/>
              <w:marRight w:val="0"/>
              <w:marTop w:val="0"/>
              <w:marBottom w:val="0"/>
              <w:divBdr>
                <w:top w:val="none" w:sz="0" w:space="0" w:color="auto"/>
                <w:left w:val="none" w:sz="0" w:space="0" w:color="auto"/>
                <w:bottom w:val="none" w:sz="0" w:space="0" w:color="auto"/>
                <w:right w:val="none" w:sz="0" w:space="0" w:color="auto"/>
              </w:divBdr>
            </w:div>
            <w:div w:id="1307391795">
              <w:marLeft w:val="0"/>
              <w:marRight w:val="0"/>
              <w:marTop w:val="0"/>
              <w:marBottom w:val="0"/>
              <w:divBdr>
                <w:top w:val="none" w:sz="0" w:space="0" w:color="auto"/>
                <w:left w:val="none" w:sz="0" w:space="0" w:color="auto"/>
                <w:bottom w:val="none" w:sz="0" w:space="0" w:color="auto"/>
                <w:right w:val="none" w:sz="0" w:space="0" w:color="auto"/>
              </w:divBdr>
            </w:div>
            <w:div w:id="1073047364">
              <w:marLeft w:val="0"/>
              <w:marRight w:val="0"/>
              <w:marTop w:val="0"/>
              <w:marBottom w:val="0"/>
              <w:divBdr>
                <w:top w:val="none" w:sz="0" w:space="0" w:color="auto"/>
                <w:left w:val="none" w:sz="0" w:space="0" w:color="auto"/>
                <w:bottom w:val="none" w:sz="0" w:space="0" w:color="auto"/>
                <w:right w:val="none" w:sz="0" w:space="0" w:color="auto"/>
              </w:divBdr>
            </w:div>
            <w:div w:id="1342199674">
              <w:marLeft w:val="0"/>
              <w:marRight w:val="0"/>
              <w:marTop w:val="0"/>
              <w:marBottom w:val="0"/>
              <w:divBdr>
                <w:top w:val="none" w:sz="0" w:space="0" w:color="auto"/>
                <w:left w:val="none" w:sz="0" w:space="0" w:color="auto"/>
                <w:bottom w:val="none" w:sz="0" w:space="0" w:color="auto"/>
                <w:right w:val="none" w:sz="0" w:space="0" w:color="auto"/>
              </w:divBdr>
            </w:div>
            <w:div w:id="137653416">
              <w:marLeft w:val="0"/>
              <w:marRight w:val="0"/>
              <w:marTop w:val="0"/>
              <w:marBottom w:val="0"/>
              <w:divBdr>
                <w:top w:val="none" w:sz="0" w:space="0" w:color="auto"/>
                <w:left w:val="none" w:sz="0" w:space="0" w:color="auto"/>
                <w:bottom w:val="none" w:sz="0" w:space="0" w:color="auto"/>
                <w:right w:val="none" w:sz="0" w:space="0" w:color="auto"/>
              </w:divBdr>
            </w:div>
            <w:div w:id="326400282">
              <w:marLeft w:val="0"/>
              <w:marRight w:val="0"/>
              <w:marTop w:val="0"/>
              <w:marBottom w:val="0"/>
              <w:divBdr>
                <w:top w:val="none" w:sz="0" w:space="0" w:color="auto"/>
                <w:left w:val="none" w:sz="0" w:space="0" w:color="auto"/>
                <w:bottom w:val="none" w:sz="0" w:space="0" w:color="auto"/>
                <w:right w:val="none" w:sz="0" w:space="0" w:color="auto"/>
              </w:divBdr>
            </w:div>
            <w:div w:id="2055352463">
              <w:marLeft w:val="0"/>
              <w:marRight w:val="0"/>
              <w:marTop w:val="0"/>
              <w:marBottom w:val="0"/>
              <w:divBdr>
                <w:top w:val="none" w:sz="0" w:space="0" w:color="auto"/>
                <w:left w:val="none" w:sz="0" w:space="0" w:color="auto"/>
                <w:bottom w:val="none" w:sz="0" w:space="0" w:color="auto"/>
                <w:right w:val="none" w:sz="0" w:space="0" w:color="auto"/>
              </w:divBdr>
            </w:div>
            <w:div w:id="65230191">
              <w:marLeft w:val="0"/>
              <w:marRight w:val="0"/>
              <w:marTop w:val="0"/>
              <w:marBottom w:val="0"/>
              <w:divBdr>
                <w:top w:val="none" w:sz="0" w:space="0" w:color="auto"/>
                <w:left w:val="none" w:sz="0" w:space="0" w:color="auto"/>
                <w:bottom w:val="none" w:sz="0" w:space="0" w:color="auto"/>
                <w:right w:val="none" w:sz="0" w:space="0" w:color="auto"/>
              </w:divBdr>
            </w:div>
            <w:div w:id="427845219">
              <w:marLeft w:val="0"/>
              <w:marRight w:val="0"/>
              <w:marTop w:val="0"/>
              <w:marBottom w:val="0"/>
              <w:divBdr>
                <w:top w:val="none" w:sz="0" w:space="0" w:color="auto"/>
                <w:left w:val="none" w:sz="0" w:space="0" w:color="auto"/>
                <w:bottom w:val="none" w:sz="0" w:space="0" w:color="auto"/>
                <w:right w:val="none" w:sz="0" w:space="0" w:color="auto"/>
              </w:divBdr>
            </w:div>
            <w:div w:id="17242553">
              <w:marLeft w:val="0"/>
              <w:marRight w:val="0"/>
              <w:marTop w:val="0"/>
              <w:marBottom w:val="0"/>
              <w:divBdr>
                <w:top w:val="none" w:sz="0" w:space="0" w:color="auto"/>
                <w:left w:val="none" w:sz="0" w:space="0" w:color="auto"/>
                <w:bottom w:val="none" w:sz="0" w:space="0" w:color="auto"/>
                <w:right w:val="none" w:sz="0" w:space="0" w:color="auto"/>
              </w:divBdr>
            </w:div>
            <w:div w:id="1299144663">
              <w:marLeft w:val="0"/>
              <w:marRight w:val="0"/>
              <w:marTop w:val="0"/>
              <w:marBottom w:val="0"/>
              <w:divBdr>
                <w:top w:val="none" w:sz="0" w:space="0" w:color="auto"/>
                <w:left w:val="none" w:sz="0" w:space="0" w:color="auto"/>
                <w:bottom w:val="none" w:sz="0" w:space="0" w:color="auto"/>
                <w:right w:val="none" w:sz="0" w:space="0" w:color="auto"/>
              </w:divBdr>
            </w:div>
            <w:div w:id="16429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9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header" Target="header2.xml"/><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1.png"/><Relationship Id="rId52"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3.xml"/><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image" Target="media/image1.jpe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chart" Target="charts/chart1.xml"/><Relationship Id="rId41" Type="http://schemas.openxmlformats.org/officeDocument/2006/relationships/image" Target="media/image28.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image" Target="media/image36.png"/></Relationships>
</file>

<file path=word/charts/_rels/chart1.xml.rels><?xml version="1.0" encoding="UTF-8" standalone="yes"?>
<Relationships xmlns="http://schemas.openxmlformats.org/package/2006/relationships"><Relationship Id="rId3" Type="http://schemas.openxmlformats.org/officeDocument/2006/relationships/oleObject" Target="file:////Users/tchoupsss/Desktop/ANALYS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fr-FR"/>
              <a:t>Sexe</a:t>
            </a:r>
          </a:p>
        </c:rich>
      </c:tx>
      <c:layout>
        <c:manualLayout>
          <c:xMode val="edge"/>
          <c:yMode val="edge"/>
          <c:x val="0.37832422485561307"/>
          <c:y val="5.503259345068805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fr-FR"/>
        </a:p>
      </c:txPr>
    </c:title>
    <c:autoTitleDeleted val="0"/>
    <c:plotArea>
      <c:layout/>
      <c:pieChart>
        <c:varyColors val="1"/>
        <c:ser>
          <c:idx val="0"/>
          <c:order val="0"/>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1-64BB-7446-B246-E88683A63892}"/>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3-64BB-7446-B246-E88683A6389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Feuil1!$A$42:$A$43</c:f>
              <c:strCache>
                <c:ptCount val="2"/>
                <c:pt idx="0">
                  <c:v>homme</c:v>
                </c:pt>
                <c:pt idx="1">
                  <c:v>Femme</c:v>
                </c:pt>
              </c:strCache>
            </c:strRef>
          </c:cat>
          <c:val>
            <c:numRef>
              <c:f>Feuil1!$B$42:$B$43</c:f>
              <c:numCache>
                <c:formatCode>General</c:formatCode>
                <c:ptCount val="2"/>
                <c:pt idx="0">
                  <c:v>10</c:v>
                </c:pt>
                <c:pt idx="1">
                  <c:v>27</c:v>
                </c:pt>
              </c:numCache>
            </c:numRef>
          </c:val>
          <c:extLst>
            <c:ext xmlns:c16="http://schemas.microsoft.com/office/drawing/2014/chart" uri="{C3380CC4-5D6E-409C-BE32-E72D297353CC}">
              <c16:uniqueId val="{00000004-64BB-7446-B246-E88683A63892}"/>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lgn="just">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B7221-3BE4-4A75-85E0-BAEC94E90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78</Pages>
  <Words>69768</Words>
  <Characters>383729</Characters>
  <Application>Microsoft Office Word</Application>
  <DocSecurity>0</DocSecurity>
  <Lines>3197</Lines>
  <Paragraphs>905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452592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Resseguier</dc:creator>
  <cp:lastModifiedBy>Titouan Le Breton</cp:lastModifiedBy>
  <cp:revision>3</cp:revision>
  <cp:lastPrinted>2026-02-11T11:40:00Z</cp:lastPrinted>
  <dcterms:created xsi:type="dcterms:W3CDTF">2026-02-11T11:40:00Z</dcterms:created>
  <dcterms:modified xsi:type="dcterms:W3CDTF">2026-02-11T13:22:00Z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id="yBnlN4SL"/&gt;&lt;style id="http://www.zotero.org/styles/apa" locale="fr-FR"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